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DB72E" w14:textId="77777777" w:rsidR="00431722" w:rsidRDefault="00431722">
      <w:pPr>
        <w:pStyle w:val="Spacer"/>
        <w:rPr>
          <w:rFonts w:ascii="DFPHei Std W7" w:eastAsia="DFPHei Std W7" w:hAnsi="DFPHei Std W7" w:cs="DFPHei Std W7"/>
          <w:sz w:val="21"/>
          <w:szCs w:val="21"/>
        </w:rPr>
      </w:pPr>
    </w:p>
    <w:p w14:paraId="7A592ADC" w14:textId="77777777" w:rsidR="00431722" w:rsidRDefault="00802129">
      <w:pPr>
        <w:jc w:val="center"/>
        <w:rPr>
          <w:rFonts w:ascii="DFPHei Std W7" w:eastAsia="DFPHei Std W7" w:hAnsi="DFPHei Std W7" w:cs="DFPHei Std W7"/>
          <w:b/>
          <w:bCs/>
          <w:sz w:val="24"/>
          <w:szCs w:val="24"/>
          <w:lang w:eastAsia="zh-CN"/>
        </w:rPr>
      </w:pPr>
      <w:bookmarkStart w:id="0" w:name="_Hlk516490144"/>
      <w:r>
        <w:rPr>
          <w:rFonts w:ascii="DFPHei Std W7" w:eastAsia="DFPHei Std W7" w:hAnsi="DFPHei Std W7" w:cs="DFPHei Std W7" w:hint="eastAsia"/>
          <w:b/>
          <w:sz w:val="32"/>
          <w:szCs w:val="32"/>
          <w:lang w:eastAsia="zh-CN"/>
        </w:rPr>
        <w:t>创变</w:t>
      </w:r>
      <w:r>
        <w:rPr>
          <w:rFonts w:ascii="DFPHei Std W7" w:eastAsia="DFPHei Std W7" w:hAnsi="DFPHei Std W7" w:cs="DFPHei Std W7" w:hint="eastAsia"/>
          <w:b/>
          <w:sz w:val="32"/>
          <w:szCs w:val="32"/>
          <w:lang w:eastAsia="zh-CN"/>
        </w:rPr>
        <w:t>2022</w:t>
      </w:r>
      <w:r>
        <w:rPr>
          <w:rFonts w:ascii="DFPHei Std W7" w:eastAsia="DFPHei Std W7" w:hAnsi="DFPHei Std W7" w:cs="DFPHei Std W7" w:hint="eastAsia"/>
          <w:b/>
          <w:sz w:val="32"/>
          <w:szCs w:val="32"/>
          <w:lang w:eastAsia="zh-CN"/>
        </w:rPr>
        <w:t>·中国</w:t>
      </w:r>
      <w:r>
        <w:rPr>
          <w:rFonts w:ascii="DFPHei Std W7" w:eastAsia="DFPHei Std W7" w:hAnsi="DFPHei Std W7" w:cs="DFPHei Std W7" w:hint="eastAsia"/>
          <w:b/>
          <w:sz w:val="32"/>
          <w:szCs w:val="32"/>
          <w:lang w:eastAsia="zh-CN"/>
        </w:rPr>
        <w:t>(</w:t>
      </w:r>
      <w:r>
        <w:rPr>
          <w:rFonts w:ascii="DFPHei Std W7" w:eastAsia="DFPHei Std W7" w:hAnsi="DFPHei Std W7" w:cs="DFPHei Std W7" w:hint="eastAsia"/>
          <w:b/>
          <w:sz w:val="32"/>
          <w:szCs w:val="32"/>
          <w:lang w:eastAsia="zh-CN"/>
        </w:rPr>
        <w:t>北京</w:t>
      </w:r>
      <w:r>
        <w:rPr>
          <w:rFonts w:ascii="DFPHei Std W7" w:eastAsia="DFPHei Std W7" w:hAnsi="DFPHei Std W7" w:cs="DFPHei Std W7" w:hint="eastAsia"/>
          <w:b/>
          <w:sz w:val="32"/>
          <w:szCs w:val="32"/>
          <w:lang w:eastAsia="zh-CN"/>
        </w:rPr>
        <w:t>)</w:t>
      </w:r>
      <w:r>
        <w:rPr>
          <w:rFonts w:ascii="DFPHei Std W7" w:eastAsia="DFPHei Std W7" w:hAnsi="DFPHei Std W7" w:cs="DFPHei Std W7" w:hint="eastAsia"/>
          <w:b/>
          <w:sz w:val="32"/>
          <w:szCs w:val="32"/>
          <w:lang w:eastAsia="zh-CN"/>
        </w:rPr>
        <w:t>国际黄金投资论坛顺利召开</w:t>
      </w:r>
    </w:p>
    <w:p w14:paraId="49CE413E" w14:textId="77777777" w:rsidR="00431722" w:rsidRDefault="00431722">
      <w:pPr>
        <w:spacing w:after="200"/>
        <w:jc w:val="center"/>
        <w:rPr>
          <w:rFonts w:ascii="DFPHei Std W7" w:eastAsia="DFPHei Std W7" w:hAnsi="DFPHei Std W7" w:cs="DFPHei Std W7"/>
          <w:b/>
          <w:sz w:val="32"/>
          <w:szCs w:val="32"/>
          <w:lang w:eastAsia="zh-CN"/>
        </w:rPr>
      </w:pPr>
    </w:p>
    <w:p w14:paraId="08A9C32A"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2022</w:t>
      </w:r>
      <w:r>
        <w:rPr>
          <w:rFonts w:ascii="DFPHei Std W7" w:eastAsia="DFPHei Std W7" w:hAnsi="DFPHei Std W7" w:cs="DFPHei Std W7" w:hint="eastAsia"/>
          <w:b/>
          <w:bCs/>
          <w:sz w:val="24"/>
          <w:szCs w:val="24"/>
          <w:lang w:eastAsia="zh-CN"/>
        </w:rPr>
        <w:t>年</w:t>
      </w:r>
      <w:r>
        <w:rPr>
          <w:rFonts w:ascii="DFPHei Std W7" w:eastAsia="DFPHei Std W7" w:hAnsi="DFPHei Std W7" w:cs="DFPHei Std W7" w:hint="eastAsia"/>
          <w:b/>
          <w:bCs/>
          <w:sz w:val="24"/>
          <w:szCs w:val="24"/>
          <w:lang w:eastAsia="zh-CN"/>
        </w:rPr>
        <w:t>9</w:t>
      </w:r>
      <w:r>
        <w:rPr>
          <w:rFonts w:ascii="DFPHei Std W7" w:eastAsia="DFPHei Std W7" w:hAnsi="DFPHei Std W7" w:cs="DFPHei Std W7" w:hint="eastAsia"/>
          <w:b/>
          <w:bCs/>
          <w:sz w:val="24"/>
          <w:szCs w:val="24"/>
          <w:lang w:eastAsia="zh-CN"/>
        </w:rPr>
        <w:t>月</w:t>
      </w:r>
      <w:r>
        <w:rPr>
          <w:rFonts w:ascii="DFPHei Std W7" w:eastAsia="DFPHei Std W7" w:hAnsi="DFPHei Std W7" w:cs="DFPHei Std W7" w:hint="eastAsia"/>
          <w:b/>
          <w:bCs/>
          <w:sz w:val="24"/>
          <w:szCs w:val="24"/>
          <w:lang w:eastAsia="zh-CN"/>
        </w:rPr>
        <w:t>21</w:t>
      </w:r>
      <w:r>
        <w:rPr>
          <w:rFonts w:ascii="DFPHei Std W7" w:eastAsia="DFPHei Std W7" w:hAnsi="DFPHei Std W7" w:cs="DFPHei Std W7" w:hint="eastAsia"/>
          <w:b/>
          <w:bCs/>
          <w:sz w:val="24"/>
          <w:szCs w:val="24"/>
          <w:lang w:eastAsia="zh-CN"/>
        </w:rPr>
        <w:t>日，由世界黄金协会携手中国黄金协会和清华大学五道口金融学院共同主办，</w:t>
      </w:r>
      <w:proofErr w:type="gramStart"/>
      <w:r>
        <w:rPr>
          <w:rFonts w:ascii="DFPHei Std W7" w:eastAsia="DFPHei Std W7" w:hAnsi="DFPHei Std W7" w:cs="DFPHei Std W7" w:hint="eastAsia"/>
          <w:b/>
          <w:bCs/>
          <w:sz w:val="24"/>
          <w:szCs w:val="24"/>
          <w:lang w:eastAsia="zh-CN"/>
        </w:rPr>
        <w:t>新浪财经协办的“</w:t>
      </w:r>
      <w:proofErr w:type="gramEnd"/>
      <w:r>
        <w:rPr>
          <w:rFonts w:ascii="DFPHei Std W7" w:eastAsia="DFPHei Std W7" w:hAnsi="DFPHei Std W7" w:cs="DFPHei Std W7" w:hint="eastAsia"/>
          <w:b/>
          <w:bCs/>
          <w:sz w:val="24"/>
          <w:szCs w:val="24"/>
          <w:lang w:eastAsia="zh-CN"/>
        </w:rPr>
        <w:t>创变</w:t>
      </w:r>
      <w:r>
        <w:rPr>
          <w:rFonts w:ascii="DFPHei Std W7" w:eastAsia="DFPHei Std W7" w:hAnsi="DFPHei Std W7" w:cs="DFPHei Std W7" w:hint="eastAsia"/>
          <w:b/>
          <w:bCs/>
          <w:sz w:val="24"/>
          <w:szCs w:val="24"/>
          <w:lang w:eastAsia="zh-CN"/>
        </w:rPr>
        <w:t>2022</w:t>
      </w:r>
      <w:r>
        <w:rPr>
          <w:rFonts w:ascii="DFPHei Std W7" w:eastAsia="DFPHei Std W7" w:hAnsi="DFPHei Std W7" w:cs="DFPHei Std W7" w:hint="eastAsia"/>
          <w:b/>
          <w:bCs/>
          <w:sz w:val="24"/>
          <w:szCs w:val="24"/>
          <w:lang w:eastAsia="zh-CN"/>
        </w:rPr>
        <w:t>·中国</w:t>
      </w:r>
      <w:r>
        <w:rPr>
          <w:rFonts w:ascii="DFPHei Std W7" w:eastAsia="DFPHei Std W7" w:hAnsi="DFPHei Std W7" w:cs="DFPHei Std W7" w:hint="eastAsia"/>
          <w:b/>
          <w:bCs/>
          <w:sz w:val="24"/>
          <w:szCs w:val="24"/>
          <w:lang w:eastAsia="zh-CN"/>
        </w:rPr>
        <w:t>(</w:t>
      </w:r>
      <w:r>
        <w:rPr>
          <w:rFonts w:ascii="DFPHei Std W7" w:eastAsia="DFPHei Std W7" w:hAnsi="DFPHei Std W7" w:cs="DFPHei Std W7" w:hint="eastAsia"/>
          <w:b/>
          <w:bCs/>
          <w:sz w:val="24"/>
          <w:szCs w:val="24"/>
          <w:lang w:eastAsia="zh-CN"/>
        </w:rPr>
        <w:t>北京</w:t>
      </w:r>
      <w:r>
        <w:rPr>
          <w:rFonts w:ascii="DFPHei Std W7" w:eastAsia="DFPHei Std W7" w:hAnsi="DFPHei Std W7" w:cs="DFPHei Std W7" w:hint="eastAsia"/>
          <w:b/>
          <w:bCs/>
          <w:sz w:val="24"/>
          <w:szCs w:val="24"/>
          <w:lang w:eastAsia="zh-CN"/>
        </w:rPr>
        <w:t>)</w:t>
      </w:r>
      <w:r>
        <w:rPr>
          <w:rFonts w:ascii="DFPHei Std W7" w:eastAsia="DFPHei Std W7" w:hAnsi="DFPHei Std W7" w:cs="DFPHei Std W7" w:hint="eastAsia"/>
          <w:b/>
          <w:bCs/>
          <w:sz w:val="24"/>
          <w:szCs w:val="24"/>
          <w:lang w:eastAsia="zh-CN"/>
        </w:rPr>
        <w:t>国际黄金投资论坛”在北京成功举行。</w:t>
      </w:r>
      <w:r>
        <w:rPr>
          <w:rFonts w:ascii="DFPHei Std W7" w:eastAsia="DFPHei Std W7" w:hAnsi="DFPHei Std W7" w:cs="DFPHei Std W7" w:hint="eastAsia"/>
          <w:sz w:val="24"/>
          <w:szCs w:val="24"/>
          <w:lang w:eastAsia="zh-CN"/>
        </w:rPr>
        <w:t>本次论坛通过线上线下同步的方式，云集业界专家、企业家、学者、金融机构和行业协会代表，以“创变”为主题，围绕当今中国投资者面对的重大长期挑战以及黄金助力投资者应对挑战的核心议题，就全球宏观形势与市场展望、新形势下的创新精神、中国双碳目标下的</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投资等热门话题展开交流分享。</w:t>
      </w:r>
    </w:p>
    <w:p w14:paraId="73B0DB5A"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drawing>
          <wp:inline distT="0" distB="0" distL="114300" distR="114300" wp14:anchorId="44382D7C" wp14:editId="3A35D17A">
            <wp:extent cx="5400040" cy="4050030"/>
            <wp:effectExtent l="0" t="0" r="10160" b="7620"/>
            <wp:docPr id="2" name="图片 2" descr="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议"/>
                    <pic:cNvPicPr>
                      <a:picLocks noChangeAspect="1"/>
                    </pic:cNvPicPr>
                  </pic:nvPicPr>
                  <pic:blipFill>
                    <a:blip r:embed="rId8"/>
                    <a:stretch>
                      <a:fillRect/>
                    </a:stretch>
                  </pic:blipFill>
                  <pic:spPr>
                    <a:xfrm>
                      <a:off x="0" y="0"/>
                      <a:ext cx="5400040" cy="4050030"/>
                    </a:xfrm>
                    <a:prstGeom prst="rect">
                      <a:avLst/>
                    </a:prstGeom>
                  </pic:spPr>
                </pic:pic>
              </a:graphicData>
            </a:graphic>
          </wp:inline>
        </w:drawing>
      </w:r>
    </w:p>
    <w:p w14:paraId="62DBF544"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t>世界黄金协会由</w:t>
      </w:r>
      <w:r>
        <w:rPr>
          <w:rFonts w:ascii="DFPHei Std W7" w:eastAsia="DFPHei Std W7" w:hAnsi="DFPHei Std W7" w:cs="DFPHei Std W7" w:hint="eastAsia"/>
          <w:sz w:val="24"/>
          <w:szCs w:val="24"/>
          <w:lang w:eastAsia="zh-CN"/>
        </w:rPr>
        <w:t>2018</w:t>
      </w:r>
      <w:r>
        <w:rPr>
          <w:rFonts w:ascii="DFPHei Std W7" w:eastAsia="DFPHei Std W7" w:hAnsi="DFPHei Std W7" w:cs="DFPHei Std W7" w:hint="eastAsia"/>
          <w:sz w:val="24"/>
          <w:szCs w:val="24"/>
          <w:lang w:eastAsia="zh-CN"/>
        </w:rPr>
        <w:t>年开始面向全球资产管理和投资专业人士，创办</w:t>
      </w:r>
      <w:r>
        <w:rPr>
          <w:rFonts w:ascii="DFPHei Std W7" w:eastAsia="DFPHei Std W7" w:hAnsi="DFPHei Std W7" w:cs="DFPHei Std W7" w:hint="eastAsia"/>
          <w:sz w:val="24"/>
          <w:szCs w:val="24"/>
          <w:lang w:eastAsia="zh-CN"/>
        </w:rPr>
        <w:t>EVOLVE</w:t>
      </w:r>
      <w:r>
        <w:rPr>
          <w:rFonts w:ascii="DFPHei Std W7" w:eastAsia="DFPHei Std W7" w:hAnsi="DFPHei Std W7" w:cs="DFPHei Std W7" w:hint="eastAsia"/>
          <w:sz w:val="24"/>
          <w:szCs w:val="24"/>
          <w:lang w:eastAsia="zh-CN"/>
        </w:rPr>
        <w:t>（创变）投资论坛，现已成为世界黄金协会的旗舰年度系列会议。而此次“创变</w:t>
      </w:r>
      <w:r>
        <w:rPr>
          <w:rFonts w:ascii="DFPHei Std W7" w:eastAsia="DFPHei Std W7" w:hAnsi="DFPHei Std W7" w:cs="DFPHei Std W7" w:hint="eastAsia"/>
          <w:sz w:val="24"/>
          <w:szCs w:val="24"/>
          <w:lang w:eastAsia="zh-CN"/>
        </w:rPr>
        <w:t>2022</w:t>
      </w:r>
      <w:r>
        <w:rPr>
          <w:rFonts w:ascii="DFPHei Std W7" w:eastAsia="DFPHei Std W7" w:hAnsi="DFPHei Std W7" w:cs="DFPHei Std W7" w:hint="eastAsia"/>
          <w:sz w:val="24"/>
          <w:szCs w:val="24"/>
          <w:lang w:eastAsia="zh-CN"/>
        </w:rPr>
        <w:t>·中国</w:t>
      </w:r>
      <w:r>
        <w:rPr>
          <w:rFonts w:ascii="DFPHei Std W7" w:eastAsia="DFPHei Std W7" w:hAnsi="DFPHei Std W7" w:cs="DFPHei Std W7" w:hint="eastAsia"/>
          <w:sz w:val="24"/>
          <w:szCs w:val="24"/>
          <w:lang w:eastAsia="zh-CN"/>
        </w:rPr>
        <w:t>(</w:t>
      </w:r>
      <w:r>
        <w:rPr>
          <w:rFonts w:ascii="DFPHei Std W7" w:eastAsia="DFPHei Std W7" w:hAnsi="DFPHei Std W7" w:cs="DFPHei Std W7" w:hint="eastAsia"/>
          <w:sz w:val="24"/>
          <w:szCs w:val="24"/>
          <w:lang w:eastAsia="zh-CN"/>
        </w:rPr>
        <w:t>北京</w:t>
      </w:r>
      <w:r>
        <w:rPr>
          <w:rFonts w:ascii="DFPHei Std W7" w:eastAsia="DFPHei Std W7" w:hAnsi="DFPHei Std W7" w:cs="DFPHei Std W7" w:hint="eastAsia"/>
          <w:sz w:val="24"/>
          <w:szCs w:val="24"/>
          <w:lang w:eastAsia="zh-CN"/>
        </w:rPr>
        <w:t>)</w:t>
      </w:r>
      <w:r>
        <w:rPr>
          <w:rFonts w:ascii="DFPHei Std W7" w:eastAsia="DFPHei Std W7" w:hAnsi="DFPHei Std W7" w:cs="DFPHei Std W7" w:hint="eastAsia"/>
          <w:sz w:val="24"/>
          <w:szCs w:val="24"/>
          <w:lang w:eastAsia="zh-CN"/>
        </w:rPr>
        <w:t>国际黄金投资论坛”，正是</w:t>
      </w:r>
      <w:r>
        <w:rPr>
          <w:rFonts w:ascii="DFPHei Std W7" w:eastAsia="DFPHei Std W7" w:hAnsi="DFPHei Std W7" w:cs="DFPHei Std W7" w:hint="eastAsia"/>
          <w:sz w:val="24"/>
          <w:szCs w:val="24"/>
          <w:lang w:eastAsia="zh-CN"/>
        </w:rPr>
        <w:t xml:space="preserve">EVOLVE </w:t>
      </w:r>
      <w:r>
        <w:rPr>
          <w:rFonts w:ascii="DFPHei Std W7" w:eastAsia="DFPHei Std W7" w:hAnsi="DFPHei Std W7" w:cs="DFPHei Std W7" w:hint="eastAsia"/>
          <w:sz w:val="24"/>
          <w:szCs w:val="24"/>
          <w:lang w:eastAsia="zh-CN"/>
        </w:rPr>
        <w:t>投资峰会于新冠</w:t>
      </w:r>
      <w:r>
        <w:rPr>
          <w:rFonts w:ascii="DFPHei Std W7" w:eastAsia="DFPHei Std W7" w:hAnsi="DFPHei Std W7" w:cs="DFPHei Std W7" w:hint="eastAsia"/>
          <w:sz w:val="24"/>
          <w:szCs w:val="24"/>
          <w:lang w:eastAsia="zh-CN"/>
        </w:rPr>
        <w:lastRenderedPageBreak/>
        <w:t>疫情发生后在中</w:t>
      </w:r>
      <w:r>
        <w:rPr>
          <w:rFonts w:ascii="DFPHei Std W7" w:eastAsia="DFPHei Std W7" w:hAnsi="DFPHei Std W7" w:cs="DFPHei Std W7" w:hint="eastAsia"/>
          <w:sz w:val="24"/>
          <w:szCs w:val="24"/>
          <w:lang w:eastAsia="zh-CN"/>
        </w:rPr>
        <w:t>国首次独立举办。中国一向是全球黄金市场的重要组成部分，世界黄金协会希望携手国内外伙伴一道，立足于创新活力的中国市场，共话全球格局中投资及黄金产业发展的新机遇。</w:t>
      </w:r>
    </w:p>
    <w:p w14:paraId="2B5D2F5C"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drawing>
          <wp:inline distT="0" distB="0" distL="114300" distR="114300" wp14:anchorId="3DB21095" wp14:editId="7333071B">
            <wp:extent cx="5400040" cy="3599815"/>
            <wp:effectExtent l="0" t="0" r="10160" b="635"/>
            <wp:docPr id="19" name="图片 19" descr="现场嘉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现场嘉宾"/>
                    <pic:cNvPicPr>
                      <a:picLocks noChangeAspect="1"/>
                    </pic:cNvPicPr>
                  </pic:nvPicPr>
                  <pic:blipFill>
                    <a:blip r:embed="rId9"/>
                    <a:stretch>
                      <a:fillRect/>
                    </a:stretch>
                  </pic:blipFill>
                  <pic:spPr>
                    <a:xfrm>
                      <a:off x="0" y="0"/>
                      <a:ext cx="5400040" cy="3599815"/>
                    </a:xfrm>
                    <a:prstGeom prst="rect">
                      <a:avLst/>
                    </a:prstGeom>
                  </pic:spPr>
                </pic:pic>
              </a:graphicData>
            </a:graphic>
          </wp:inline>
        </w:drawing>
      </w:r>
    </w:p>
    <w:p w14:paraId="30EEA75A"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业界专家、企业家、学者、金融机构和行业协会代表云集论坛</w:t>
      </w:r>
    </w:p>
    <w:p w14:paraId="4E96F3BF" w14:textId="77777777" w:rsidR="00431722" w:rsidRDefault="00431722">
      <w:pPr>
        <w:spacing w:line="288" w:lineRule="auto"/>
        <w:ind w:firstLineChars="200" w:firstLine="400"/>
        <w:rPr>
          <w:rFonts w:ascii="DFPHei Std W7" w:eastAsia="DFPHei Std W7" w:hAnsi="DFPHei Std W7" w:cs="DFPHei Std W7"/>
          <w:b/>
          <w:bCs/>
          <w:lang w:eastAsia="zh-CN"/>
        </w:rPr>
      </w:pPr>
    </w:p>
    <w:p w14:paraId="1011CE3E" w14:textId="77777777" w:rsidR="00431722" w:rsidRDefault="00802129">
      <w:pPr>
        <w:spacing w:line="288" w:lineRule="auto"/>
        <w:jc w:val="center"/>
        <w:rPr>
          <w:rFonts w:ascii="DFPHei Std W7" w:eastAsia="DFPHei Std W7" w:hAnsi="DFPHei Std W7" w:cs="DFPHei Std W7"/>
          <w:b/>
          <w:bCs/>
          <w:sz w:val="24"/>
          <w:szCs w:val="24"/>
          <w:lang w:eastAsia="zh-CN"/>
        </w:rPr>
      </w:pPr>
      <w:r>
        <w:rPr>
          <w:rFonts w:ascii="DFPHei Std W7" w:eastAsia="DFPHei Std W7" w:hAnsi="DFPHei Std W7" w:cs="DFPHei Std W7" w:hint="eastAsia"/>
          <w:b/>
          <w:bCs/>
          <w:sz w:val="24"/>
          <w:szCs w:val="24"/>
          <w:lang w:eastAsia="zh-CN"/>
        </w:rPr>
        <w:t>黄金价值不可替代，黄金行业“创变”正当时</w:t>
      </w:r>
    </w:p>
    <w:p w14:paraId="1621CA90" w14:textId="77777777" w:rsidR="00431722" w:rsidRDefault="00802129">
      <w:pPr>
        <w:spacing w:line="288" w:lineRule="auto"/>
        <w:ind w:firstLineChars="200" w:firstLine="480"/>
        <w:jc w:val="both"/>
        <w:rPr>
          <w:rFonts w:ascii="DFPHei Std W7" w:eastAsia="DFPHei Std W7" w:hAnsi="DFPHei Std W7" w:cs="DFPHei Std W7"/>
          <w:b/>
          <w:bCs/>
          <w:sz w:val="24"/>
          <w:szCs w:val="24"/>
          <w:lang w:eastAsia="zh-CN"/>
        </w:rPr>
      </w:pPr>
      <w:r>
        <w:rPr>
          <w:rFonts w:ascii="DFPHei Std W7" w:eastAsia="DFPHei Std W7" w:hAnsi="DFPHei Std W7" w:cs="DFPHei Std W7" w:hint="eastAsia"/>
          <w:b/>
          <w:bCs/>
          <w:sz w:val="24"/>
          <w:szCs w:val="24"/>
          <w:lang w:eastAsia="zh-CN"/>
        </w:rPr>
        <w:t>世界黄金协会首席执行官泰达维（</w:t>
      </w:r>
      <w:r>
        <w:rPr>
          <w:rFonts w:ascii="DFPHei Std W7" w:eastAsia="DFPHei Std W7" w:hAnsi="DFPHei Std W7" w:cs="DFPHei Std W7" w:hint="eastAsia"/>
          <w:b/>
          <w:bCs/>
          <w:sz w:val="24"/>
          <w:szCs w:val="24"/>
          <w:lang w:eastAsia="zh-CN"/>
        </w:rPr>
        <w:t>David Tait</w:t>
      </w:r>
      <w:r>
        <w:rPr>
          <w:rFonts w:ascii="DFPHei Std W7" w:eastAsia="DFPHei Std W7" w:hAnsi="DFPHei Std W7" w:cs="DFPHei Std W7" w:hint="eastAsia"/>
          <w:b/>
          <w:bCs/>
          <w:sz w:val="24"/>
          <w:szCs w:val="24"/>
          <w:lang w:eastAsia="zh-CN"/>
        </w:rPr>
        <w:t>）在视频开场致辞中表示：</w:t>
      </w:r>
      <w:r>
        <w:rPr>
          <w:rFonts w:ascii="DFPHei Std W7" w:eastAsia="DFPHei Std W7" w:hAnsi="DFPHei Std W7" w:cs="DFPHei Std W7" w:hint="eastAsia"/>
          <w:sz w:val="24"/>
          <w:szCs w:val="24"/>
          <w:lang w:eastAsia="zh-CN"/>
        </w:rPr>
        <w:t>“世界经济的各个领域，乃至我们的生活，都深受数字技术进步所带来的巨大影响。黄金市场自然也不例外。</w:t>
      </w:r>
      <w:r>
        <w:rPr>
          <w:rFonts w:ascii="DFPHei Std W7" w:eastAsia="DFPHei Std W7" w:hAnsi="DFPHei Std W7" w:cs="DFPHei Std W7" w:hint="eastAsia"/>
          <w:sz w:val="24"/>
          <w:szCs w:val="24"/>
          <w:lang w:eastAsia="zh-CN"/>
        </w:rPr>
        <w:t>2022</w:t>
      </w:r>
      <w:r>
        <w:rPr>
          <w:rFonts w:ascii="DFPHei Std W7" w:eastAsia="DFPHei Std W7" w:hAnsi="DFPHei Std W7" w:cs="DFPHei Std W7" w:hint="eastAsia"/>
          <w:sz w:val="24"/>
          <w:szCs w:val="24"/>
          <w:lang w:eastAsia="zh-CN"/>
        </w:rPr>
        <w:t>年，世界黄金协会发起‘黄金</w:t>
      </w:r>
      <w:r>
        <w:rPr>
          <w:rFonts w:ascii="DFPHei Std W7" w:eastAsia="DFPHei Std W7" w:hAnsi="DFPHei Std W7" w:cs="DFPHei Std W7" w:hint="eastAsia"/>
          <w:sz w:val="24"/>
          <w:szCs w:val="24"/>
          <w:lang w:eastAsia="zh-CN"/>
        </w:rPr>
        <w:t>247</w:t>
      </w:r>
      <w:r>
        <w:rPr>
          <w:rFonts w:ascii="DFPHei Std W7" w:eastAsia="DFPHei Std W7" w:hAnsi="DFPHei Std W7" w:cs="DFPHei Std W7" w:hint="eastAsia"/>
          <w:sz w:val="24"/>
          <w:szCs w:val="24"/>
          <w:lang w:eastAsia="zh-CN"/>
        </w:rPr>
        <w:t>’计划，以创新路径助力全球黄金市场转型。面对当今消费者和投资者新需求所带来的挑战，黄金交易和供应链管理亟待革新，以增强市场对黄金的信任，释放黄金需求。‘黄金</w:t>
      </w:r>
      <w:r>
        <w:rPr>
          <w:rFonts w:ascii="DFPHei Std W7" w:eastAsia="DFPHei Std W7" w:hAnsi="DFPHei Std W7" w:cs="DFPHei Std W7" w:hint="eastAsia"/>
          <w:sz w:val="24"/>
          <w:szCs w:val="24"/>
          <w:lang w:eastAsia="zh-CN"/>
        </w:rPr>
        <w:t>247</w:t>
      </w:r>
      <w:r>
        <w:rPr>
          <w:rFonts w:ascii="DFPHei Std W7" w:eastAsia="DFPHei Std W7" w:hAnsi="DFPHei Std W7" w:cs="DFPHei Std W7" w:hint="eastAsia"/>
          <w:sz w:val="24"/>
          <w:szCs w:val="24"/>
          <w:lang w:eastAsia="zh-CN"/>
        </w:rPr>
        <w:t>’计划重点发力黄金数字化发展和黄金市场基础设施的数字化，聚焦于黄金行业三大方面的转型：诚信、易获得性和可交易性。”</w:t>
      </w:r>
    </w:p>
    <w:p w14:paraId="2964A5F8"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lastRenderedPageBreak/>
        <w:drawing>
          <wp:inline distT="0" distB="0" distL="114300" distR="114300" wp14:anchorId="07A494FE" wp14:editId="4FF48341">
            <wp:extent cx="5400040" cy="3051175"/>
            <wp:effectExtent l="0" t="0" r="10160" b="15875"/>
            <wp:docPr id="9" name="图片 9" descr="泰达维开场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泰达维开场致辞"/>
                    <pic:cNvPicPr>
                      <a:picLocks noChangeAspect="1"/>
                    </pic:cNvPicPr>
                  </pic:nvPicPr>
                  <pic:blipFill>
                    <a:blip r:embed="rId10"/>
                    <a:stretch>
                      <a:fillRect/>
                    </a:stretch>
                  </pic:blipFill>
                  <pic:spPr>
                    <a:xfrm>
                      <a:off x="0" y="0"/>
                      <a:ext cx="5400040" cy="3051175"/>
                    </a:xfrm>
                    <a:prstGeom prst="rect">
                      <a:avLst/>
                    </a:prstGeom>
                  </pic:spPr>
                </pic:pic>
              </a:graphicData>
            </a:graphic>
          </wp:inline>
        </w:drawing>
      </w:r>
    </w:p>
    <w:p w14:paraId="153FE2A7"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世界黄金协会首席执行官泰达维（</w:t>
      </w:r>
      <w:r>
        <w:rPr>
          <w:rFonts w:ascii="DFPHei Std W7" w:eastAsia="DFPHei Std W7" w:hAnsi="DFPHei Std W7" w:cs="DFPHei Std W7" w:hint="eastAsia"/>
          <w:sz w:val="21"/>
          <w:szCs w:val="21"/>
          <w:lang w:eastAsia="zh-CN"/>
        </w:rPr>
        <w:t>David Tait</w:t>
      </w:r>
      <w:r>
        <w:rPr>
          <w:rFonts w:ascii="DFPHei Std W7" w:eastAsia="DFPHei Std W7" w:hAnsi="DFPHei Std W7" w:cs="DFPHei Std W7" w:hint="eastAsia"/>
          <w:sz w:val="21"/>
          <w:szCs w:val="21"/>
          <w:lang w:eastAsia="zh-CN"/>
        </w:rPr>
        <w:t>）</w:t>
      </w:r>
    </w:p>
    <w:p w14:paraId="4EE6E60D"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t>黄金的多重属性在应对金融危机，保障金融安</w:t>
      </w:r>
      <w:r>
        <w:rPr>
          <w:rFonts w:ascii="DFPHei Std W7" w:eastAsia="DFPHei Std W7" w:hAnsi="DFPHei Std W7" w:cs="DFPHei Std W7" w:hint="eastAsia"/>
          <w:sz w:val="24"/>
          <w:szCs w:val="24"/>
          <w:lang w:eastAsia="zh-CN"/>
        </w:rPr>
        <w:t>全中具有不可替代的作用。</w:t>
      </w:r>
      <w:r>
        <w:rPr>
          <w:rFonts w:ascii="DFPHei Std W7" w:eastAsia="DFPHei Std W7" w:hAnsi="DFPHei Std W7" w:cs="DFPHei Std W7" w:hint="eastAsia"/>
          <w:b/>
          <w:bCs/>
          <w:sz w:val="24"/>
          <w:szCs w:val="24"/>
          <w:lang w:eastAsia="zh-CN"/>
        </w:rPr>
        <w:t>中国黄金协会副会长兼秘书长张永涛</w:t>
      </w:r>
      <w:r>
        <w:rPr>
          <w:rFonts w:ascii="DFPHei Std W7" w:eastAsia="DFPHei Std W7" w:hAnsi="DFPHei Std W7" w:cs="DFPHei Std W7" w:hint="eastAsia"/>
          <w:sz w:val="24"/>
          <w:szCs w:val="24"/>
          <w:lang w:eastAsia="zh-CN"/>
        </w:rPr>
        <w:t>在致辞中表示，当今世界各种不确定、不安全因素与日俱增，而黄金恰恰可以承担应对不确定、寻求安全性的战略使命。未来，黄金的货币属性、稳定内在价值的优势将进一步彰显。</w:t>
      </w:r>
    </w:p>
    <w:p w14:paraId="0B146235"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drawing>
          <wp:inline distT="0" distB="0" distL="114300" distR="114300" wp14:anchorId="725C2A2E" wp14:editId="54CB112F">
            <wp:extent cx="5400040" cy="3599815"/>
            <wp:effectExtent l="0" t="0" r="10160" b="635"/>
            <wp:docPr id="10" name="图片 10" descr="张永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永涛"/>
                    <pic:cNvPicPr>
                      <a:picLocks noChangeAspect="1"/>
                    </pic:cNvPicPr>
                  </pic:nvPicPr>
                  <pic:blipFill>
                    <a:blip r:embed="rId11"/>
                    <a:stretch>
                      <a:fillRect/>
                    </a:stretch>
                  </pic:blipFill>
                  <pic:spPr>
                    <a:xfrm>
                      <a:off x="0" y="0"/>
                      <a:ext cx="5400040" cy="3599815"/>
                    </a:xfrm>
                    <a:prstGeom prst="rect">
                      <a:avLst/>
                    </a:prstGeom>
                  </pic:spPr>
                </pic:pic>
              </a:graphicData>
            </a:graphic>
          </wp:inline>
        </w:drawing>
      </w:r>
    </w:p>
    <w:p w14:paraId="28084ACB"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中国黄金协会副会长兼秘书长张永涛</w:t>
      </w:r>
    </w:p>
    <w:p w14:paraId="612A28C8"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lastRenderedPageBreak/>
        <w:t>清华大学五道口金融学院教授、副院长张晓燕</w:t>
      </w:r>
      <w:r>
        <w:rPr>
          <w:rFonts w:ascii="DFPHei Std W7" w:eastAsia="DFPHei Std W7" w:hAnsi="DFPHei Std W7" w:cs="DFPHei Std W7" w:hint="eastAsia"/>
          <w:sz w:val="24"/>
          <w:szCs w:val="24"/>
          <w:lang w:eastAsia="zh-CN"/>
        </w:rPr>
        <w:t>表示，黄金是一个非常古老而重要的金融资产，在整个金融发展史中具有独一无二的地位。当下，讨论黄金的角色和作用具有重大的现实意义。“中国是全球最大的黄金消费国和生产国，经济建设不断推进，科技创新能力和水平不断提高，必将为</w:t>
      </w:r>
      <w:r>
        <w:rPr>
          <w:rFonts w:ascii="DFPHei Std W7" w:eastAsia="DFPHei Std W7" w:hAnsi="DFPHei Std W7" w:cs="DFPHei Std W7" w:hint="eastAsia"/>
          <w:sz w:val="24"/>
          <w:szCs w:val="24"/>
          <w:lang w:eastAsia="zh-CN"/>
        </w:rPr>
        <w:t>中国和全球黄金行业的可持续发展注入强劲动力。”张晓燕说。</w:t>
      </w:r>
    </w:p>
    <w:p w14:paraId="296B7519"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drawing>
          <wp:inline distT="0" distB="0" distL="114300" distR="114300" wp14:anchorId="0D5F1643" wp14:editId="13E5C82F">
            <wp:extent cx="5400040" cy="3599815"/>
            <wp:effectExtent l="0" t="0" r="10160" b="635"/>
            <wp:docPr id="11" name="图片 11" descr="3.张晓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张晓燕-2"/>
                    <pic:cNvPicPr>
                      <a:picLocks noChangeAspect="1"/>
                    </pic:cNvPicPr>
                  </pic:nvPicPr>
                  <pic:blipFill>
                    <a:blip r:embed="rId12"/>
                    <a:stretch>
                      <a:fillRect/>
                    </a:stretch>
                  </pic:blipFill>
                  <pic:spPr>
                    <a:xfrm>
                      <a:off x="0" y="0"/>
                      <a:ext cx="5400040" cy="3599815"/>
                    </a:xfrm>
                    <a:prstGeom prst="rect">
                      <a:avLst/>
                    </a:prstGeom>
                  </pic:spPr>
                </pic:pic>
              </a:graphicData>
            </a:graphic>
          </wp:inline>
        </w:drawing>
      </w:r>
    </w:p>
    <w:p w14:paraId="1A77FDE7"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清华大学五道口金融学院教授、副院长张晓燕</w:t>
      </w:r>
    </w:p>
    <w:p w14:paraId="085434C7"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上海黄金交易所副总裁曾辉</w:t>
      </w:r>
      <w:r>
        <w:rPr>
          <w:rFonts w:ascii="DFPHei Std W7" w:eastAsia="DFPHei Std W7" w:hAnsi="DFPHei Std W7" w:cs="DFPHei Std W7" w:hint="eastAsia"/>
          <w:sz w:val="24"/>
          <w:szCs w:val="24"/>
          <w:lang w:eastAsia="zh-CN"/>
        </w:rPr>
        <w:t>在会上致辞表示，今年恰逢上海黄金交易所成立</w:t>
      </w:r>
      <w:r>
        <w:rPr>
          <w:rFonts w:ascii="DFPHei Std W7" w:eastAsia="DFPHei Std W7" w:hAnsi="DFPHei Std W7" w:cs="DFPHei Std W7" w:hint="eastAsia"/>
          <w:sz w:val="24"/>
          <w:szCs w:val="24"/>
          <w:lang w:eastAsia="zh-CN"/>
        </w:rPr>
        <w:t>20</w:t>
      </w:r>
      <w:r>
        <w:rPr>
          <w:rFonts w:ascii="DFPHei Std W7" w:eastAsia="DFPHei Std W7" w:hAnsi="DFPHei Std W7" w:cs="DFPHei Std W7" w:hint="eastAsia"/>
          <w:sz w:val="24"/>
          <w:szCs w:val="24"/>
          <w:lang w:eastAsia="zh-CN"/>
        </w:rPr>
        <w:t>周年。</w:t>
      </w:r>
      <w:r>
        <w:rPr>
          <w:rFonts w:ascii="DFPHei Std W7" w:eastAsia="DFPHei Std W7" w:hAnsi="DFPHei Std W7" w:cs="DFPHei Std W7" w:hint="eastAsia"/>
          <w:sz w:val="24"/>
          <w:szCs w:val="24"/>
          <w:lang w:eastAsia="zh-CN"/>
        </w:rPr>
        <w:t>20</w:t>
      </w:r>
      <w:r>
        <w:rPr>
          <w:rFonts w:ascii="DFPHei Std W7" w:eastAsia="DFPHei Std W7" w:hAnsi="DFPHei Std W7" w:cs="DFPHei Std W7" w:hint="eastAsia"/>
          <w:sz w:val="24"/>
          <w:szCs w:val="24"/>
          <w:lang w:eastAsia="zh-CN"/>
        </w:rPr>
        <w:t>年来，中国黄金市场从无到有、从小到大，“市场化、国际化”程度不断提高，实现了跨越式发展。创新和变革始终贯穿于发展全过程。正是在创新和变革的不断推动下，上海黄金交易所不断发展完善，建成了国际化综合性贵金属交易所。特别是，上金所着力创新多元化产品，推动境内外市场联通，创建定价基准及实物标准。</w:t>
      </w:r>
    </w:p>
    <w:p w14:paraId="21797011"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lastRenderedPageBreak/>
        <w:drawing>
          <wp:inline distT="0" distB="0" distL="114300" distR="114300" wp14:anchorId="713D5D42" wp14:editId="5A2F90EE">
            <wp:extent cx="5400040" cy="3599815"/>
            <wp:effectExtent l="0" t="0" r="10160" b="635"/>
            <wp:docPr id="12" name="图片 12" descr="曾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曾辉"/>
                    <pic:cNvPicPr>
                      <a:picLocks noChangeAspect="1"/>
                    </pic:cNvPicPr>
                  </pic:nvPicPr>
                  <pic:blipFill>
                    <a:blip r:embed="rId13"/>
                    <a:stretch>
                      <a:fillRect/>
                    </a:stretch>
                  </pic:blipFill>
                  <pic:spPr>
                    <a:xfrm>
                      <a:off x="0" y="0"/>
                      <a:ext cx="5400040" cy="3599815"/>
                    </a:xfrm>
                    <a:prstGeom prst="rect">
                      <a:avLst/>
                    </a:prstGeom>
                  </pic:spPr>
                </pic:pic>
              </a:graphicData>
            </a:graphic>
          </wp:inline>
        </w:drawing>
      </w:r>
    </w:p>
    <w:p w14:paraId="4ACCF160"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上海黄金交易所副总裁曾辉</w:t>
      </w:r>
    </w:p>
    <w:p w14:paraId="3354C85E" w14:textId="77777777" w:rsidR="00431722" w:rsidRDefault="00431722">
      <w:pPr>
        <w:spacing w:line="288" w:lineRule="auto"/>
        <w:ind w:firstLineChars="200" w:firstLine="400"/>
        <w:rPr>
          <w:rFonts w:ascii="DFPHei Std W7" w:eastAsia="DFPHei Std W7" w:hAnsi="DFPHei Std W7" w:cs="DFPHei Std W7"/>
          <w:lang w:eastAsia="zh-CN"/>
        </w:rPr>
      </w:pPr>
    </w:p>
    <w:p w14:paraId="5697857B" w14:textId="77777777" w:rsidR="00431722" w:rsidRDefault="00802129">
      <w:pPr>
        <w:spacing w:line="288" w:lineRule="auto"/>
        <w:jc w:val="center"/>
        <w:rPr>
          <w:rFonts w:ascii="DFPHei Std W7" w:eastAsia="DFPHei Std W7" w:hAnsi="DFPHei Std W7" w:cs="DFPHei Std W7"/>
          <w:b/>
          <w:bCs/>
          <w:sz w:val="24"/>
          <w:szCs w:val="24"/>
          <w:lang w:eastAsia="zh-CN"/>
        </w:rPr>
      </w:pPr>
      <w:r>
        <w:rPr>
          <w:rFonts w:ascii="DFPHei Std W7" w:eastAsia="DFPHei Std W7" w:hAnsi="DFPHei Std W7" w:cs="DFPHei Std W7" w:hint="eastAsia"/>
          <w:b/>
          <w:bCs/>
          <w:sz w:val="24"/>
          <w:szCs w:val="24"/>
          <w:lang w:eastAsia="zh-CN"/>
        </w:rPr>
        <w:t>对话苹果公司联合创始人，探索创新与创业精神</w:t>
      </w:r>
    </w:p>
    <w:p w14:paraId="0DE89687"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bookmarkStart w:id="1" w:name="_Hlk114590224"/>
      <w:r>
        <w:rPr>
          <w:rFonts w:ascii="DFPHei Std W7" w:eastAsia="DFPHei Std W7" w:hAnsi="DFPHei Std W7" w:cs="DFPHei Std W7" w:hint="eastAsia"/>
          <w:b/>
          <w:bCs/>
          <w:sz w:val="24"/>
          <w:szCs w:val="24"/>
          <w:lang w:eastAsia="zh-CN"/>
        </w:rPr>
        <w:t>世界黄金协会中国区首席执行官王立新与苹果公司联合创始人斯蒂夫·沃兹尼亚克</w:t>
      </w:r>
      <w:bookmarkEnd w:id="1"/>
      <w:r>
        <w:rPr>
          <w:rFonts w:ascii="DFPHei Std W7" w:eastAsia="DFPHei Std W7" w:hAnsi="DFPHei Std W7" w:cs="DFPHei Std W7" w:hint="eastAsia"/>
          <w:b/>
          <w:bCs/>
          <w:sz w:val="24"/>
          <w:szCs w:val="24"/>
          <w:lang w:eastAsia="zh-CN"/>
        </w:rPr>
        <w:t>（</w:t>
      </w:r>
      <w:r>
        <w:rPr>
          <w:rFonts w:ascii="DFPHei Std W7" w:eastAsia="DFPHei Std W7" w:hAnsi="DFPHei Std W7" w:cs="DFPHei Std W7" w:hint="eastAsia"/>
          <w:b/>
          <w:bCs/>
          <w:sz w:val="24"/>
          <w:szCs w:val="24"/>
          <w:lang w:eastAsia="zh-CN"/>
        </w:rPr>
        <w:t>Steve Wozniak</w:t>
      </w:r>
      <w:r>
        <w:rPr>
          <w:rFonts w:ascii="DFPHei Std W7" w:eastAsia="DFPHei Std W7" w:hAnsi="DFPHei Std W7" w:cs="DFPHei Std W7" w:hint="eastAsia"/>
          <w:b/>
          <w:bCs/>
          <w:sz w:val="24"/>
          <w:szCs w:val="24"/>
          <w:lang w:eastAsia="zh-CN"/>
        </w:rPr>
        <w:t>）就当今世界的创新机遇展开深度对话</w:t>
      </w:r>
      <w:r>
        <w:rPr>
          <w:rFonts w:ascii="DFPHei Std W7" w:eastAsia="DFPHei Std W7" w:hAnsi="DFPHei Std W7" w:cs="DFPHei Std W7" w:hint="eastAsia"/>
          <w:sz w:val="24"/>
          <w:szCs w:val="24"/>
          <w:lang w:eastAsia="zh-CN"/>
        </w:rPr>
        <w:t>，探讨技术创新对于当今社会的影响，并向变革时代中的年轻创业者分享箴言。</w:t>
      </w:r>
    </w:p>
    <w:p w14:paraId="2EE38087" w14:textId="77777777" w:rsidR="00431722" w:rsidRDefault="00802129">
      <w:pPr>
        <w:spacing w:line="288" w:lineRule="auto"/>
        <w:jc w:val="both"/>
        <w:rPr>
          <w:rFonts w:ascii="DFPHei Std W7" w:eastAsia="DFPHei Std W7" w:hAnsi="DFPHei Std W7" w:cs="DFPHei Std W7"/>
          <w:lang w:eastAsia="zh-CN"/>
        </w:rPr>
      </w:pPr>
      <w:r>
        <w:rPr>
          <w:rFonts w:ascii="DFPHei Std W7" w:eastAsia="DFPHei Std W7" w:hAnsi="DFPHei Std W7" w:cs="DFPHei Std W7" w:hint="eastAsia"/>
          <w:noProof/>
          <w:lang w:eastAsia="zh-CN"/>
        </w:rPr>
        <w:drawing>
          <wp:inline distT="0" distB="0" distL="114300" distR="114300" wp14:anchorId="6DD7E049" wp14:editId="0DC44AF5">
            <wp:extent cx="5400040" cy="3204210"/>
            <wp:effectExtent l="0" t="0" r="10160" b="15240"/>
            <wp:docPr id="1" name="图片 1" descr="王总采访苹果联创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总采访苹果联创人"/>
                    <pic:cNvPicPr>
                      <a:picLocks noChangeAspect="1"/>
                    </pic:cNvPicPr>
                  </pic:nvPicPr>
                  <pic:blipFill>
                    <a:blip r:embed="rId14"/>
                    <a:stretch>
                      <a:fillRect/>
                    </a:stretch>
                  </pic:blipFill>
                  <pic:spPr>
                    <a:xfrm>
                      <a:off x="0" y="0"/>
                      <a:ext cx="5400040" cy="3204210"/>
                    </a:xfrm>
                    <a:prstGeom prst="rect">
                      <a:avLst/>
                    </a:prstGeom>
                  </pic:spPr>
                </pic:pic>
              </a:graphicData>
            </a:graphic>
          </wp:inline>
        </w:drawing>
      </w:r>
    </w:p>
    <w:p w14:paraId="68C67975"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lastRenderedPageBreak/>
        <w:t>世界黄金协会中国区首席执行官对话苹果公司联合创始人</w:t>
      </w:r>
    </w:p>
    <w:p w14:paraId="212E631C"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t>斯蒂夫·沃兹尼亚克认为，创新意味着在基础科学发现的基础上，通过灵活丰富的技术与应用，真正赋能行业，解决其发展中的问题。例如，当下全球互联网行业、数字技术的快速发展，正为黄金在线交易的安全性与可信度带来全新的</w:t>
      </w:r>
      <w:r>
        <w:rPr>
          <w:rFonts w:ascii="DFPHei Std W7" w:eastAsia="DFPHei Std W7" w:hAnsi="DFPHei Std W7" w:cs="DFPHei Std W7" w:hint="eastAsia"/>
          <w:sz w:val="24"/>
          <w:szCs w:val="24"/>
          <w:lang w:eastAsia="zh-CN"/>
        </w:rPr>
        <w:t>可能性，通过多样的解决方案，实现真正的价值创造。面对当下动荡和机遇并存的创业环境，斯蒂夫·沃兹尼亚克倡议不同地区企业间积极合作，借力全球成熟的物流系统与区域化资源，在沟通中实现不断改进和共赢。与此同时，他强调初创企业是推动经济增长的重要力量，鼓励创业者保持客观，直面挑战，追求卓越。</w:t>
      </w:r>
    </w:p>
    <w:p w14:paraId="0B9CE857" w14:textId="77777777" w:rsidR="00431722" w:rsidRDefault="00431722">
      <w:pPr>
        <w:spacing w:line="288" w:lineRule="auto"/>
        <w:ind w:firstLineChars="200" w:firstLine="480"/>
        <w:rPr>
          <w:rFonts w:ascii="DFPHei Std W7" w:eastAsia="DFPHei Std W7" w:hAnsi="DFPHei Std W7" w:cs="DFPHei Std W7"/>
          <w:sz w:val="24"/>
          <w:szCs w:val="24"/>
          <w:lang w:eastAsia="zh-CN"/>
        </w:rPr>
      </w:pPr>
    </w:p>
    <w:p w14:paraId="1D8A09CE" w14:textId="77777777" w:rsidR="00431722" w:rsidRDefault="00802129">
      <w:pPr>
        <w:spacing w:line="288" w:lineRule="auto"/>
        <w:jc w:val="center"/>
        <w:rPr>
          <w:rFonts w:ascii="DFPHei Std W7" w:eastAsia="DFPHei Std W7" w:hAnsi="DFPHei Std W7" w:cs="DFPHei Std W7"/>
          <w:b/>
          <w:bCs/>
          <w:sz w:val="24"/>
          <w:szCs w:val="24"/>
          <w:lang w:eastAsia="zh-CN"/>
        </w:rPr>
      </w:pPr>
      <w:r>
        <w:rPr>
          <w:rFonts w:ascii="DFPHei Std W7" w:eastAsia="DFPHei Std W7" w:hAnsi="DFPHei Std W7" w:cs="DFPHei Std W7" w:hint="eastAsia"/>
          <w:b/>
          <w:bCs/>
          <w:sz w:val="24"/>
          <w:szCs w:val="24"/>
          <w:lang w:eastAsia="zh-CN"/>
        </w:rPr>
        <w:t>从宏观展望到双碳目标，共话投资新机遇</w:t>
      </w:r>
    </w:p>
    <w:p w14:paraId="53A6E027"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t>论坛中，与会嘉宾从稳增长预期下的资本市场新机遇、全球宏观趋势与市场展望、经济面临的潜在挑战、地缘政治风险对全球央行储备体系及黄金投资的影响，及中国双碳目标下的</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投资等多个维度，深入分析</w:t>
      </w:r>
      <w:r>
        <w:rPr>
          <w:rFonts w:ascii="DFPHei Std W7" w:eastAsia="DFPHei Std W7" w:hAnsi="DFPHei Std W7" w:cs="DFPHei Std W7" w:hint="eastAsia"/>
          <w:sz w:val="24"/>
          <w:szCs w:val="24"/>
          <w:lang w:eastAsia="zh-CN"/>
        </w:rPr>
        <w:t>当下宏观经济与投资形势，分享关于投资新机遇的独到见解。</w:t>
      </w:r>
    </w:p>
    <w:p w14:paraId="43F21A79" w14:textId="43A6B3FD"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清华大学五道口金融学院教授、副院长张晓燕</w:t>
      </w:r>
      <w:r>
        <w:rPr>
          <w:rFonts w:ascii="DFPHei Std W7" w:eastAsia="DFPHei Std W7" w:hAnsi="DFPHei Std W7" w:cs="DFPHei Std W7" w:hint="eastAsia"/>
          <w:sz w:val="24"/>
          <w:szCs w:val="24"/>
          <w:lang w:eastAsia="zh-CN"/>
        </w:rPr>
        <w:t>在主旨演讲中指出，当今世界资本市场面对三大挑战。第一，复杂的新冠疫情显著影响经济发展。第二，地缘冲突带来的商品价格上升带来全球性的通胀。第三，为了应对通胀，美联储加息及缩表，利率上升，对资本市场产生很大负面影响。这三大挑战带来的结果就是经济增长受到压力</w:t>
      </w:r>
      <w:r w:rsidR="009E0C3D">
        <w:rPr>
          <w:rFonts w:ascii="DFPHei Std W7" w:eastAsia="DFPHei Std W7" w:hAnsi="DFPHei Std W7" w:cs="DFPHei Std W7" w:hint="eastAsia"/>
          <w:sz w:val="24"/>
          <w:szCs w:val="24"/>
          <w:lang w:eastAsia="zh-CN"/>
        </w:rPr>
        <w:t>，</w:t>
      </w:r>
      <w:r>
        <w:rPr>
          <w:rFonts w:ascii="DFPHei Std W7" w:eastAsia="DFPHei Std W7" w:hAnsi="DFPHei Std W7" w:cs="DFPHei Std W7" w:hint="eastAsia"/>
          <w:sz w:val="24"/>
          <w:szCs w:val="24"/>
          <w:lang w:eastAsia="zh-CN"/>
        </w:rPr>
        <w:t>市场的不确定性变高。而在多重因素造就的中国稳增长预期下，未来资本市场发展的新机遇或会聚焦零碳金融和数字经济。在个人投资者层面，张晓燕强调，在不确定性较高的时候，历</w:t>
      </w:r>
      <w:r>
        <w:rPr>
          <w:rFonts w:ascii="DFPHei Std W7" w:eastAsia="DFPHei Std W7" w:hAnsi="DFPHei Std W7" w:cs="DFPHei Std W7" w:hint="eastAsia"/>
          <w:sz w:val="24"/>
          <w:szCs w:val="24"/>
          <w:lang w:eastAsia="zh-CN"/>
        </w:rPr>
        <w:t>史经验证明黄金是一个很有效的避险工具，如果想要降低不确定性，黄金是一个值得考虑的配置资产。</w:t>
      </w:r>
    </w:p>
    <w:p w14:paraId="39EE79C9" w14:textId="77777777" w:rsidR="00431722" w:rsidRDefault="00802129">
      <w:pPr>
        <w:spacing w:line="288" w:lineRule="auto"/>
        <w:rPr>
          <w:rFonts w:ascii="DFPHei Std W7" w:eastAsia="DFPHei Std W7" w:hAnsi="DFPHei Std W7" w:cs="DFPHei Std W7"/>
          <w:sz w:val="24"/>
          <w:szCs w:val="24"/>
          <w:lang w:eastAsia="zh-CN"/>
        </w:rPr>
      </w:pPr>
      <w:r>
        <w:rPr>
          <w:rFonts w:ascii="DFPHei Std W7" w:eastAsia="DFPHei Std W7" w:hAnsi="DFPHei Std W7" w:cs="DFPHei Std W7" w:hint="eastAsia"/>
          <w:noProof/>
          <w:sz w:val="24"/>
          <w:szCs w:val="24"/>
          <w:lang w:eastAsia="zh-CN"/>
        </w:rPr>
        <w:lastRenderedPageBreak/>
        <w:drawing>
          <wp:inline distT="0" distB="0" distL="114300" distR="114300" wp14:anchorId="3E7C44FD" wp14:editId="406F694A">
            <wp:extent cx="5400040" cy="3599815"/>
            <wp:effectExtent l="0" t="0" r="10160" b="635"/>
            <wp:docPr id="20" name="图片 20" descr="张晓燕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张晓燕演讲"/>
                    <pic:cNvPicPr>
                      <a:picLocks noChangeAspect="1"/>
                    </pic:cNvPicPr>
                  </pic:nvPicPr>
                  <pic:blipFill>
                    <a:blip r:embed="rId15"/>
                    <a:stretch>
                      <a:fillRect/>
                    </a:stretch>
                  </pic:blipFill>
                  <pic:spPr>
                    <a:xfrm>
                      <a:off x="0" y="0"/>
                      <a:ext cx="5400040" cy="3599815"/>
                    </a:xfrm>
                    <a:prstGeom prst="rect">
                      <a:avLst/>
                    </a:prstGeom>
                  </pic:spPr>
                </pic:pic>
              </a:graphicData>
            </a:graphic>
          </wp:inline>
        </w:drawing>
      </w:r>
    </w:p>
    <w:p w14:paraId="0CC2E818"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张晓燕发表《稳增长预期下的资本市场》主旨演讲</w:t>
      </w:r>
    </w:p>
    <w:p w14:paraId="2C4E8C8E"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中国国际金融股份有限公司董事总经理黄海洲</w:t>
      </w:r>
      <w:r>
        <w:rPr>
          <w:rFonts w:ascii="DFPHei Std W7" w:eastAsia="DFPHei Std W7" w:hAnsi="DFPHei Std W7" w:cs="DFPHei Std W7" w:hint="eastAsia"/>
          <w:sz w:val="24"/>
          <w:szCs w:val="24"/>
          <w:lang w:eastAsia="zh-CN"/>
        </w:rPr>
        <w:t>表示，今年全球面临的挑战较多，俄乌冲突加大了地缘政治风险；全球气候变暖、多地干旱加剧，引起市场对明年农产品价格的担忧；美国消费者物价指数（</w:t>
      </w:r>
      <w:r>
        <w:rPr>
          <w:rFonts w:ascii="DFPHei Std W7" w:eastAsia="DFPHei Std W7" w:hAnsi="DFPHei Std W7" w:cs="DFPHei Std W7" w:hint="eastAsia"/>
          <w:sz w:val="24"/>
          <w:szCs w:val="24"/>
          <w:lang w:eastAsia="zh-CN"/>
        </w:rPr>
        <w:t>CPI</w:t>
      </w:r>
      <w:r>
        <w:rPr>
          <w:rFonts w:ascii="DFPHei Std W7" w:eastAsia="DFPHei Std W7" w:hAnsi="DFPHei Std W7" w:cs="DFPHei Std W7" w:hint="eastAsia"/>
          <w:sz w:val="24"/>
          <w:szCs w:val="24"/>
          <w:lang w:eastAsia="zh-CN"/>
        </w:rPr>
        <w:t>）居高不下，经济压力仍较大。当下全球通胀等形势是由多重因素叠加造成的，我们处在一个相对风险较高的时期，从投资角度看，要相对谨慎。但他强调，软着陆的可能仍然存在，并表示对中国投资环境和经济中长期增长充满信心。</w:t>
      </w:r>
    </w:p>
    <w:p w14:paraId="5C72E107" w14:textId="77777777" w:rsidR="00431722" w:rsidRDefault="00802129">
      <w:pPr>
        <w:spacing w:line="288" w:lineRule="auto"/>
        <w:jc w:val="both"/>
        <w:rPr>
          <w:rFonts w:ascii="DFPHei Std W7" w:eastAsia="DFPHei Std W7" w:hAnsi="DFPHei Std W7" w:cs="DFPHei Std W7"/>
          <w:bCs/>
          <w:lang w:eastAsia="zh-CN"/>
        </w:rPr>
      </w:pPr>
      <w:r>
        <w:rPr>
          <w:rFonts w:ascii="DFPHei Std W7" w:eastAsia="DFPHei Std W7" w:hAnsi="DFPHei Std W7" w:cs="DFPHei Std W7" w:hint="eastAsia"/>
          <w:bCs/>
          <w:noProof/>
          <w:lang w:eastAsia="zh-CN"/>
        </w:rPr>
        <w:lastRenderedPageBreak/>
        <w:drawing>
          <wp:inline distT="0" distB="0" distL="114300" distR="114300" wp14:anchorId="0D270B63" wp14:editId="2DEC7DBA">
            <wp:extent cx="5400040" cy="3041650"/>
            <wp:effectExtent l="0" t="0" r="10160" b="6350"/>
            <wp:docPr id="13" name="图片 13" descr="黄海洲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海洲演讲"/>
                    <pic:cNvPicPr>
                      <a:picLocks noChangeAspect="1"/>
                    </pic:cNvPicPr>
                  </pic:nvPicPr>
                  <pic:blipFill>
                    <a:blip r:embed="rId16"/>
                    <a:stretch>
                      <a:fillRect/>
                    </a:stretch>
                  </pic:blipFill>
                  <pic:spPr>
                    <a:xfrm>
                      <a:off x="0" y="0"/>
                      <a:ext cx="5400040" cy="3041650"/>
                    </a:xfrm>
                    <a:prstGeom prst="rect">
                      <a:avLst/>
                    </a:prstGeom>
                  </pic:spPr>
                </pic:pic>
              </a:graphicData>
            </a:graphic>
          </wp:inline>
        </w:drawing>
      </w:r>
    </w:p>
    <w:p w14:paraId="3E2FA149"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黄海洲发表主旨演讲展望全球宏观与市场</w:t>
      </w:r>
    </w:p>
    <w:p w14:paraId="444B3BE5"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世界黄金协会首席市场策略师康乔（</w:t>
      </w:r>
      <w:r>
        <w:rPr>
          <w:rFonts w:ascii="DFPHei Std W7" w:eastAsia="DFPHei Std W7" w:hAnsi="DFPHei Std W7" w:cs="DFPHei Std W7" w:hint="eastAsia"/>
          <w:b/>
          <w:bCs/>
          <w:sz w:val="24"/>
          <w:szCs w:val="24"/>
          <w:lang w:eastAsia="zh-CN"/>
        </w:rPr>
        <w:t xml:space="preserve">Joseph </w:t>
      </w:r>
      <w:proofErr w:type="spellStart"/>
      <w:r>
        <w:rPr>
          <w:rFonts w:ascii="DFPHei Std W7" w:eastAsia="DFPHei Std W7" w:hAnsi="DFPHei Std W7" w:cs="DFPHei Std W7" w:hint="eastAsia"/>
          <w:b/>
          <w:bCs/>
          <w:sz w:val="24"/>
          <w:szCs w:val="24"/>
          <w:lang w:eastAsia="zh-CN"/>
        </w:rPr>
        <w:t>Cavatoni</w:t>
      </w:r>
      <w:proofErr w:type="spellEnd"/>
      <w:r>
        <w:rPr>
          <w:rFonts w:ascii="DFPHei Std W7" w:eastAsia="DFPHei Std W7" w:hAnsi="DFPHei Std W7" w:cs="DFPHei Std W7" w:hint="eastAsia"/>
          <w:b/>
          <w:bCs/>
          <w:sz w:val="24"/>
          <w:szCs w:val="24"/>
          <w:lang w:eastAsia="zh-CN"/>
        </w:rPr>
        <w:t>）和道富环球执行副总裁兼全球首席投资官洛莉·海内尔（</w:t>
      </w:r>
      <w:r>
        <w:rPr>
          <w:rFonts w:ascii="DFPHei Std W7" w:eastAsia="DFPHei Std W7" w:hAnsi="DFPHei Std W7" w:cs="DFPHei Std W7" w:hint="eastAsia"/>
          <w:b/>
          <w:bCs/>
          <w:sz w:val="24"/>
          <w:szCs w:val="24"/>
          <w:lang w:eastAsia="zh-CN"/>
        </w:rPr>
        <w:t>Lo</w:t>
      </w:r>
      <w:r>
        <w:rPr>
          <w:rFonts w:ascii="DFPHei Std W7" w:eastAsia="DFPHei Std W7" w:hAnsi="DFPHei Std W7" w:cs="DFPHei Std W7" w:hint="eastAsia"/>
          <w:b/>
          <w:bCs/>
          <w:sz w:val="24"/>
          <w:szCs w:val="24"/>
          <w:lang w:eastAsia="zh-CN"/>
        </w:rPr>
        <w:t xml:space="preserve">ri </w:t>
      </w:r>
      <w:proofErr w:type="spellStart"/>
      <w:r>
        <w:rPr>
          <w:rFonts w:ascii="DFPHei Std W7" w:eastAsia="DFPHei Std W7" w:hAnsi="DFPHei Std W7" w:cs="DFPHei Std W7" w:hint="eastAsia"/>
          <w:b/>
          <w:bCs/>
          <w:sz w:val="24"/>
          <w:szCs w:val="24"/>
          <w:lang w:eastAsia="zh-CN"/>
        </w:rPr>
        <w:t>Heinel</w:t>
      </w:r>
      <w:proofErr w:type="spellEnd"/>
      <w:r>
        <w:rPr>
          <w:rFonts w:ascii="DFPHei Std W7" w:eastAsia="DFPHei Std W7" w:hAnsi="DFPHei Std W7" w:cs="DFPHei Std W7" w:hint="eastAsia"/>
          <w:b/>
          <w:bCs/>
          <w:sz w:val="24"/>
          <w:szCs w:val="24"/>
          <w:lang w:eastAsia="zh-CN"/>
        </w:rPr>
        <w:t>）聚焦潜在衰退风险及其对全球资产配置的影响。</w:t>
      </w:r>
      <w:r>
        <w:rPr>
          <w:rFonts w:ascii="DFPHei Std W7" w:eastAsia="DFPHei Std W7" w:hAnsi="DFPHei Std W7" w:cs="DFPHei Std W7" w:hint="eastAsia"/>
          <w:sz w:val="24"/>
          <w:szCs w:val="24"/>
          <w:lang w:eastAsia="zh-CN"/>
        </w:rPr>
        <w:t>双方就年期收益率曲线倒挂背后的原因和影响、对货币政策和长期通胀的认知，以及当今世界不确定因素下的潜在风险点对于投资组合的影响展开深入交流。洛莉·海内尔强调了动荡环境下多元资产组合的重要性，以及黄金有效抵御通胀环境的对冲属性和独特价值。</w:t>
      </w:r>
    </w:p>
    <w:p w14:paraId="154599E2" w14:textId="77777777" w:rsidR="00431722" w:rsidRDefault="00802129">
      <w:pPr>
        <w:spacing w:line="288" w:lineRule="auto"/>
        <w:jc w:val="both"/>
        <w:rPr>
          <w:rFonts w:ascii="DFPHei Std W7" w:eastAsia="DFPHei Std W7" w:hAnsi="DFPHei Std W7" w:cs="DFPHei Std W7"/>
          <w:bCs/>
          <w:lang w:eastAsia="zh-CN"/>
        </w:rPr>
      </w:pPr>
      <w:r>
        <w:rPr>
          <w:rFonts w:ascii="DFPHei Std W7" w:eastAsia="DFPHei Std W7" w:hAnsi="DFPHei Std W7" w:cs="DFPHei Std W7" w:hint="eastAsia"/>
          <w:bCs/>
          <w:noProof/>
          <w:lang w:eastAsia="zh-CN"/>
        </w:rPr>
        <w:drawing>
          <wp:inline distT="0" distB="0" distL="114300" distR="114300" wp14:anchorId="64A01B37" wp14:editId="6D40F43B">
            <wp:extent cx="5400040" cy="3037840"/>
            <wp:effectExtent l="0" t="0" r="10160" b="10160"/>
            <wp:docPr id="14" name="图片 14" descr="康桥对话洛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康桥对话洛莉"/>
                    <pic:cNvPicPr>
                      <a:picLocks noChangeAspect="1"/>
                    </pic:cNvPicPr>
                  </pic:nvPicPr>
                  <pic:blipFill>
                    <a:blip r:embed="rId17"/>
                    <a:stretch>
                      <a:fillRect/>
                    </a:stretch>
                  </pic:blipFill>
                  <pic:spPr>
                    <a:xfrm>
                      <a:off x="0" y="0"/>
                      <a:ext cx="5400040" cy="3037840"/>
                    </a:xfrm>
                    <a:prstGeom prst="rect">
                      <a:avLst/>
                    </a:prstGeom>
                  </pic:spPr>
                </pic:pic>
              </a:graphicData>
            </a:graphic>
          </wp:inline>
        </w:drawing>
      </w:r>
    </w:p>
    <w:p w14:paraId="2A2D36D7" w14:textId="61C54A6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康</w:t>
      </w:r>
      <w:r w:rsidR="00930F8C">
        <w:rPr>
          <w:rFonts w:ascii="DFPHei Std W7" w:eastAsia="DFPHei Std W7" w:hAnsi="DFPHei Std W7" w:cs="DFPHei Std W7" w:hint="eastAsia"/>
          <w:sz w:val="21"/>
          <w:szCs w:val="21"/>
          <w:lang w:eastAsia="zh-CN"/>
        </w:rPr>
        <w:t>乔</w:t>
      </w:r>
      <w:r>
        <w:rPr>
          <w:rFonts w:ascii="DFPHei Std W7" w:eastAsia="DFPHei Std W7" w:hAnsi="DFPHei Std W7" w:cs="DFPHei Std W7" w:hint="eastAsia"/>
          <w:sz w:val="21"/>
          <w:szCs w:val="21"/>
          <w:lang w:eastAsia="zh-CN"/>
        </w:rPr>
        <w:t>与洛莉·海内尔对话聚焦衰退风险及其对全球资产配置的影响</w:t>
      </w:r>
    </w:p>
    <w:p w14:paraId="239D9160"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lastRenderedPageBreak/>
        <w:t>世界黄金协会全球央行负责人樊少凯</w:t>
      </w:r>
      <w:r>
        <w:rPr>
          <w:rFonts w:ascii="DFPHei Std W7" w:eastAsia="DFPHei Std W7" w:hAnsi="DFPHei Std W7" w:cs="DFPHei Std W7" w:hint="eastAsia"/>
          <w:sz w:val="24"/>
          <w:szCs w:val="24"/>
          <w:lang w:eastAsia="zh-CN"/>
        </w:rPr>
        <w:t>介绍了在当今全球充满不确定性的经济环境下，央行在履行保持经济和货币稳定的使命中对黄金储备的重视和认可。樊少凯透露，整体</w:t>
      </w:r>
      <w:r>
        <w:rPr>
          <w:rFonts w:ascii="DFPHei Std W7" w:eastAsia="DFPHei Std W7" w:hAnsi="DFPHei Std W7" w:cs="DFPHei Std W7" w:hint="eastAsia"/>
          <w:sz w:val="24"/>
          <w:szCs w:val="24"/>
          <w:lang w:eastAsia="zh-CN"/>
        </w:rPr>
        <w:t>来看</w:t>
      </w:r>
      <w:r>
        <w:rPr>
          <w:rFonts w:ascii="DFPHei Std W7" w:eastAsia="DFPHei Std W7" w:hAnsi="DFPHei Std W7" w:cs="DFPHei Std W7" w:hint="eastAsia"/>
          <w:sz w:val="24"/>
          <w:szCs w:val="24"/>
          <w:lang w:val="en-US" w:eastAsia="zh-CN"/>
        </w:rPr>
        <w:t>，</w:t>
      </w:r>
      <w:r>
        <w:rPr>
          <w:rFonts w:ascii="DFPHei Std W7" w:eastAsia="DFPHei Std W7" w:hAnsi="DFPHei Std W7" w:cs="DFPHei Std W7" w:hint="eastAsia"/>
          <w:sz w:val="24"/>
          <w:szCs w:val="24"/>
          <w:lang w:eastAsia="zh-CN"/>
        </w:rPr>
        <w:t>2010</w:t>
      </w:r>
      <w:r>
        <w:rPr>
          <w:rFonts w:ascii="DFPHei Std W7" w:eastAsia="DFPHei Std W7" w:hAnsi="DFPHei Std W7" w:cs="DFPHei Std W7" w:hint="eastAsia"/>
          <w:sz w:val="24"/>
          <w:szCs w:val="24"/>
          <w:lang w:eastAsia="zh-CN"/>
        </w:rPr>
        <w:t>年起，央行从黄金的卖方转为黄金的买方，传统持有大量黄金的西方国家停止黄金的售卖，而更多发展中国家开始增加他们的黄金储备。面临当前环境下的诸多挑战，各国央行会更加了解黄金对他们克服这些挑战的重要贡献。</w:t>
      </w:r>
    </w:p>
    <w:p w14:paraId="6EDEDD59" w14:textId="77777777" w:rsidR="00431722" w:rsidRDefault="00802129">
      <w:pPr>
        <w:spacing w:line="288" w:lineRule="auto"/>
        <w:jc w:val="both"/>
        <w:rPr>
          <w:rFonts w:ascii="DFPHei Std W7" w:eastAsia="DFPHei Std W7" w:hAnsi="DFPHei Std W7" w:cs="DFPHei Std W7"/>
          <w:bCs/>
          <w:lang w:eastAsia="zh-CN"/>
        </w:rPr>
      </w:pPr>
      <w:r>
        <w:rPr>
          <w:rFonts w:ascii="DFPHei Std W7" w:eastAsia="DFPHei Std W7" w:hAnsi="DFPHei Std W7" w:cs="DFPHei Std W7" w:hint="eastAsia"/>
          <w:bCs/>
          <w:noProof/>
          <w:lang w:eastAsia="zh-CN"/>
        </w:rPr>
        <w:drawing>
          <wp:inline distT="0" distB="0" distL="114300" distR="114300" wp14:anchorId="6FE660CF" wp14:editId="741CDC42">
            <wp:extent cx="5400040" cy="3037840"/>
            <wp:effectExtent l="0" t="0" r="10160" b="10160"/>
            <wp:docPr id="15" name="图片 15" descr="樊少凯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樊少凯演讲"/>
                    <pic:cNvPicPr>
                      <a:picLocks noChangeAspect="1"/>
                    </pic:cNvPicPr>
                  </pic:nvPicPr>
                  <pic:blipFill>
                    <a:blip r:embed="rId18"/>
                    <a:stretch>
                      <a:fillRect/>
                    </a:stretch>
                  </pic:blipFill>
                  <pic:spPr>
                    <a:xfrm>
                      <a:off x="0" y="0"/>
                      <a:ext cx="5400040" cy="3037840"/>
                    </a:xfrm>
                    <a:prstGeom prst="rect">
                      <a:avLst/>
                    </a:prstGeom>
                  </pic:spPr>
                </pic:pic>
              </a:graphicData>
            </a:graphic>
          </wp:inline>
        </w:drawing>
      </w:r>
    </w:p>
    <w:p w14:paraId="76DE987D"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樊少凯分享全球央行对黄金储备的重视和认可</w:t>
      </w:r>
    </w:p>
    <w:p w14:paraId="548CE8AC"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t>在最后的“中国双碳目标下的</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投资”圆桌环节中，嘉宾从银行业、保险业、资管业及黄金行业等不同角度分析</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投资的重要意义与路径。主持人</w:t>
      </w:r>
      <w:r>
        <w:rPr>
          <w:rFonts w:ascii="DFPHei Std W7" w:eastAsia="DFPHei Std W7" w:hAnsi="DFPHei Std W7" w:cs="DFPHei Std W7" w:hint="eastAsia"/>
          <w:b/>
          <w:bCs/>
          <w:sz w:val="24"/>
          <w:szCs w:val="24"/>
          <w:lang w:eastAsia="zh-CN"/>
        </w:rPr>
        <w:t>普华永道中国</w:t>
      </w:r>
      <w:r>
        <w:rPr>
          <w:rFonts w:ascii="DFPHei Std W7" w:eastAsia="DFPHei Std W7" w:hAnsi="DFPHei Std W7" w:cs="DFPHei Std W7" w:hint="eastAsia"/>
          <w:b/>
          <w:bCs/>
          <w:sz w:val="24"/>
          <w:szCs w:val="24"/>
          <w:lang w:eastAsia="zh-CN"/>
        </w:rPr>
        <w:t>ESG</w:t>
      </w:r>
      <w:r>
        <w:rPr>
          <w:rFonts w:ascii="DFPHei Std W7" w:eastAsia="DFPHei Std W7" w:hAnsi="DFPHei Std W7" w:cs="DFPHei Std W7" w:hint="eastAsia"/>
          <w:b/>
          <w:bCs/>
          <w:sz w:val="24"/>
          <w:szCs w:val="24"/>
          <w:lang w:eastAsia="zh-CN"/>
        </w:rPr>
        <w:t>可持续发展市场主管合伙人倪清</w:t>
      </w:r>
      <w:r>
        <w:rPr>
          <w:rFonts w:ascii="DFPHei Std W7" w:eastAsia="DFPHei Std W7" w:hAnsi="DFPHei Std W7" w:cs="DFPHei Std W7" w:hint="eastAsia"/>
          <w:sz w:val="24"/>
          <w:szCs w:val="24"/>
          <w:lang w:eastAsia="zh-CN"/>
        </w:rPr>
        <w:t>分享了</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投资议题的发展及其重要性，并引导嘉宾围绕相关议题进行讨论。</w:t>
      </w:r>
    </w:p>
    <w:p w14:paraId="3CC6F2AA" w14:textId="77777777" w:rsidR="00431722" w:rsidRDefault="00802129">
      <w:pPr>
        <w:spacing w:line="288" w:lineRule="auto"/>
        <w:jc w:val="both"/>
        <w:rPr>
          <w:rFonts w:ascii="DFPHei Std W7" w:eastAsia="DFPHei Std W7" w:hAnsi="DFPHei Std W7" w:cs="DFPHei Std W7"/>
          <w:bCs/>
          <w:lang w:eastAsia="zh-CN"/>
        </w:rPr>
      </w:pPr>
      <w:r>
        <w:rPr>
          <w:rFonts w:ascii="DFPHei Std W7" w:eastAsia="DFPHei Std W7" w:hAnsi="DFPHei Std W7" w:cs="DFPHei Std W7" w:hint="eastAsia"/>
          <w:bCs/>
          <w:noProof/>
          <w:lang w:eastAsia="zh-CN"/>
        </w:rPr>
        <w:lastRenderedPageBreak/>
        <w:drawing>
          <wp:inline distT="0" distB="0" distL="114300" distR="114300" wp14:anchorId="123AC1F2" wp14:editId="732F1F07">
            <wp:extent cx="5400040" cy="3599815"/>
            <wp:effectExtent l="0" t="0" r="10160" b="635"/>
            <wp:docPr id="16" name="图片 16" descr="圆桌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圆桌讨论"/>
                    <pic:cNvPicPr>
                      <a:picLocks noChangeAspect="1"/>
                    </pic:cNvPicPr>
                  </pic:nvPicPr>
                  <pic:blipFill>
                    <a:blip r:embed="rId19"/>
                    <a:stretch>
                      <a:fillRect/>
                    </a:stretch>
                  </pic:blipFill>
                  <pic:spPr>
                    <a:xfrm>
                      <a:off x="0" y="0"/>
                      <a:ext cx="5400040" cy="3599815"/>
                    </a:xfrm>
                    <a:prstGeom prst="rect">
                      <a:avLst/>
                    </a:prstGeom>
                  </pic:spPr>
                </pic:pic>
              </a:graphicData>
            </a:graphic>
          </wp:inline>
        </w:drawing>
      </w:r>
    </w:p>
    <w:p w14:paraId="375837FA" w14:textId="77777777" w:rsidR="00431722" w:rsidRDefault="00802129">
      <w:pPr>
        <w:spacing w:line="288" w:lineRule="auto"/>
        <w:jc w:val="both"/>
        <w:rPr>
          <w:rFonts w:ascii="DFPHei Std W7" w:eastAsia="DFPHei Std W7" w:hAnsi="DFPHei Std W7" w:cs="DFPHei Std W7"/>
          <w:sz w:val="21"/>
          <w:szCs w:val="21"/>
          <w:lang w:eastAsia="zh-CN"/>
        </w:rPr>
      </w:pPr>
      <w:r>
        <w:rPr>
          <w:rFonts w:ascii="DFPHei Std W7" w:eastAsia="DFPHei Std W7" w:hAnsi="DFPHei Std W7" w:cs="DFPHei Std W7" w:hint="eastAsia"/>
          <w:sz w:val="21"/>
          <w:szCs w:val="21"/>
          <w:lang w:eastAsia="zh-CN"/>
        </w:rPr>
        <w:t>“中国双碳目标下的</w:t>
      </w:r>
      <w:r>
        <w:rPr>
          <w:rFonts w:ascii="DFPHei Std W7" w:eastAsia="DFPHei Std W7" w:hAnsi="DFPHei Std W7" w:cs="DFPHei Std W7" w:hint="eastAsia"/>
          <w:sz w:val="21"/>
          <w:szCs w:val="21"/>
          <w:lang w:eastAsia="zh-CN"/>
        </w:rPr>
        <w:t>ESG</w:t>
      </w:r>
      <w:r>
        <w:rPr>
          <w:rFonts w:ascii="DFPHei Std W7" w:eastAsia="DFPHei Std W7" w:hAnsi="DFPHei Std W7" w:cs="DFPHei Std W7" w:hint="eastAsia"/>
          <w:sz w:val="21"/>
          <w:szCs w:val="21"/>
          <w:lang w:eastAsia="zh-CN"/>
        </w:rPr>
        <w:t>投资”圆桌环节</w:t>
      </w:r>
    </w:p>
    <w:p w14:paraId="4E6851F4" w14:textId="77777777"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b/>
          <w:bCs/>
          <w:sz w:val="24"/>
          <w:szCs w:val="24"/>
          <w:lang w:eastAsia="zh-CN"/>
        </w:rPr>
        <w:t>中国银行首席研究员宗良</w:t>
      </w:r>
      <w:r>
        <w:rPr>
          <w:rFonts w:ascii="DFPHei Std W7" w:eastAsia="DFPHei Std W7" w:hAnsi="DFPHei Std W7" w:cs="DFPHei Std W7" w:hint="eastAsia"/>
          <w:sz w:val="24"/>
          <w:szCs w:val="24"/>
          <w:lang w:eastAsia="zh-CN"/>
        </w:rPr>
        <w:t>指出，银行作为国内绿色金融的领军行业，要在现有基础上更进一步践行国家战略，实现双碳目标，就必须提升自己的</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表现、支持企业转型，加强创新，完善标准体系及信息披露机制，注重风险防范。</w:t>
      </w:r>
      <w:r>
        <w:rPr>
          <w:rFonts w:ascii="DFPHei Std W7" w:eastAsia="DFPHei Std W7" w:hAnsi="DFPHei Std W7" w:cs="DFPHei Std W7" w:hint="eastAsia"/>
          <w:b/>
          <w:bCs/>
          <w:sz w:val="24"/>
          <w:szCs w:val="24"/>
          <w:lang w:eastAsia="zh-CN"/>
        </w:rPr>
        <w:t>中国保险资产管理业协会教育培训及国际事务部总监杜建</w:t>
      </w:r>
      <w:r>
        <w:rPr>
          <w:rFonts w:ascii="DFPHei Std W7" w:eastAsia="DFPHei Std W7" w:hAnsi="DFPHei Std W7" w:cs="DFPHei Std W7" w:hint="eastAsia"/>
          <w:sz w:val="24"/>
          <w:szCs w:val="24"/>
          <w:lang w:eastAsia="zh-CN"/>
        </w:rPr>
        <w:t>认为，保险机构在</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投资方面的挑战主要来源于政策配套、人才培养、机制建设以及初期成本，应通过向行业积极发出倡议、深化研究、促进协作、培养建设</w:t>
      </w:r>
      <w:r>
        <w:rPr>
          <w:rFonts w:ascii="DFPHei Std W7" w:eastAsia="DFPHei Std W7" w:hAnsi="DFPHei Std W7" w:cs="DFPHei Std W7" w:hint="eastAsia"/>
          <w:sz w:val="24"/>
          <w:szCs w:val="24"/>
          <w:lang w:eastAsia="zh-CN"/>
        </w:rPr>
        <w:t>人才队伍等措施，更好地支持</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领域的投资和发展。</w:t>
      </w:r>
      <w:r>
        <w:rPr>
          <w:rFonts w:ascii="DFPHei Std W7" w:eastAsia="DFPHei Std W7" w:hAnsi="DFPHei Std W7" w:cs="DFPHei Std W7" w:hint="eastAsia"/>
          <w:b/>
          <w:bCs/>
          <w:sz w:val="24"/>
          <w:szCs w:val="24"/>
          <w:lang w:eastAsia="zh-CN"/>
        </w:rPr>
        <w:t>国投瑞银基金管理有限公司总经理王彦杰</w:t>
      </w:r>
      <w:r>
        <w:rPr>
          <w:rFonts w:ascii="DFPHei Std W7" w:eastAsia="DFPHei Std W7" w:hAnsi="DFPHei Std W7" w:cs="DFPHei Std W7" w:hint="eastAsia"/>
          <w:sz w:val="24"/>
          <w:szCs w:val="24"/>
          <w:lang w:eastAsia="zh-CN"/>
        </w:rPr>
        <w:t>表示，当下</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的驱动力主要来自于政策推动、投资者需求、以及资管机构三方面，然而在募集资金、设立产品、投资管理等每个环节上，依然存在障碍和挑战。总体来看，</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能够为投资者带来超额收益，具备一定回报价值。</w:t>
      </w:r>
      <w:r>
        <w:rPr>
          <w:rFonts w:ascii="DFPHei Std W7" w:eastAsia="DFPHei Std W7" w:hAnsi="DFPHei Std W7" w:cs="DFPHei Std W7" w:hint="eastAsia"/>
          <w:b/>
          <w:bCs/>
          <w:sz w:val="24"/>
          <w:szCs w:val="24"/>
          <w:lang w:eastAsia="zh-CN"/>
        </w:rPr>
        <w:t>世界黄金协会中国区首席执行官王立新</w:t>
      </w:r>
      <w:r>
        <w:rPr>
          <w:rFonts w:ascii="DFPHei Std W7" w:eastAsia="DFPHei Std W7" w:hAnsi="DFPHei Std W7" w:cs="DFPHei Std W7" w:hint="eastAsia"/>
          <w:sz w:val="24"/>
          <w:szCs w:val="24"/>
          <w:lang w:eastAsia="zh-CN"/>
        </w:rPr>
        <w:t>指出，黄金行业对</w:t>
      </w:r>
      <w:r>
        <w:rPr>
          <w:rFonts w:ascii="DFPHei Std W7" w:eastAsia="DFPHei Std W7" w:hAnsi="DFPHei Std W7" w:cs="DFPHei Std W7" w:hint="eastAsia"/>
          <w:sz w:val="24"/>
          <w:szCs w:val="24"/>
          <w:lang w:eastAsia="zh-CN"/>
        </w:rPr>
        <w:t>ESG</w:t>
      </w:r>
      <w:r>
        <w:rPr>
          <w:rFonts w:ascii="DFPHei Std W7" w:eastAsia="DFPHei Std W7" w:hAnsi="DFPHei Std W7" w:cs="DFPHei Std W7" w:hint="eastAsia"/>
          <w:sz w:val="24"/>
          <w:szCs w:val="24"/>
          <w:lang w:eastAsia="zh-CN"/>
        </w:rPr>
        <w:t>的认知，应立足于“观念先行、积极落实、实事求是、不断完善、大力宣传”，并分享了世界黄金协会在上述领域的里程碑与长期承诺。</w:t>
      </w:r>
    </w:p>
    <w:p w14:paraId="131CD935" w14:textId="77777777" w:rsidR="00431722" w:rsidRDefault="00431722">
      <w:pPr>
        <w:spacing w:line="288" w:lineRule="auto"/>
        <w:ind w:firstLineChars="200" w:firstLine="480"/>
        <w:jc w:val="both"/>
        <w:rPr>
          <w:rFonts w:ascii="DFPHei Std W7" w:eastAsia="DFPHei Std W7" w:hAnsi="DFPHei Std W7" w:cs="DFPHei Std W7"/>
          <w:sz w:val="24"/>
          <w:szCs w:val="24"/>
          <w:lang w:eastAsia="zh-CN"/>
        </w:rPr>
      </w:pPr>
    </w:p>
    <w:p w14:paraId="54C57861" w14:textId="4A182500" w:rsidR="00431722" w:rsidRDefault="00802129">
      <w:pPr>
        <w:spacing w:line="288" w:lineRule="auto"/>
        <w:ind w:firstLineChars="200" w:firstLine="480"/>
        <w:jc w:val="both"/>
        <w:rPr>
          <w:rFonts w:ascii="DFPHei Std W7" w:eastAsia="DFPHei Std W7" w:hAnsi="DFPHei Std W7" w:cs="DFPHei Std W7"/>
          <w:sz w:val="24"/>
          <w:szCs w:val="24"/>
          <w:lang w:eastAsia="zh-CN"/>
        </w:rPr>
      </w:pPr>
      <w:r>
        <w:rPr>
          <w:rFonts w:ascii="DFPHei Std W7" w:eastAsia="DFPHei Std W7" w:hAnsi="DFPHei Std W7" w:cs="DFPHei Std W7" w:hint="eastAsia"/>
          <w:sz w:val="24"/>
          <w:szCs w:val="24"/>
          <w:lang w:eastAsia="zh-CN"/>
        </w:rPr>
        <w:lastRenderedPageBreak/>
        <w:t>当今世界面临诸多不确定性，而创新则是赋能</w:t>
      </w:r>
      <w:r w:rsidR="00930F8C">
        <w:rPr>
          <w:rFonts w:ascii="DFPHei Std W7" w:eastAsia="DFPHei Std W7" w:hAnsi="DFPHei Std W7" w:cs="DFPHei Std W7" w:hint="eastAsia"/>
          <w:sz w:val="24"/>
          <w:szCs w:val="24"/>
          <w:lang w:eastAsia="zh-CN"/>
        </w:rPr>
        <w:t>各</w:t>
      </w:r>
      <w:r>
        <w:rPr>
          <w:rFonts w:ascii="DFPHei Std W7" w:eastAsia="DFPHei Std W7" w:hAnsi="DFPHei Std W7" w:cs="DFPHei Std W7" w:hint="eastAsia"/>
          <w:sz w:val="24"/>
          <w:szCs w:val="24"/>
          <w:lang w:eastAsia="zh-CN"/>
        </w:rPr>
        <w:t>行业增强韧性、应对挑战的金钥匙。世界黄金协会矢志于传递黄金投资价值，让黄金持续在国际金融体系中发挥重要作用。“创变</w:t>
      </w:r>
      <w:r>
        <w:rPr>
          <w:rFonts w:ascii="DFPHei Std W7" w:eastAsia="DFPHei Std W7" w:hAnsi="DFPHei Std W7" w:cs="DFPHei Std W7" w:hint="eastAsia"/>
          <w:sz w:val="24"/>
          <w:szCs w:val="24"/>
          <w:lang w:eastAsia="zh-CN"/>
        </w:rPr>
        <w:t>2022</w:t>
      </w:r>
      <w:r>
        <w:rPr>
          <w:rFonts w:ascii="DFPHei Std W7" w:eastAsia="DFPHei Std W7" w:hAnsi="DFPHei Std W7" w:cs="DFPHei Std W7" w:hint="eastAsia"/>
          <w:sz w:val="24"/>
          <w:szCs w:val="24"/>
          <w:lang w:eastAsia="zh-CN"/>
        </w:rPr>
        <w:t>·中国</w:t>
      </w:r>
      <w:r>
        <w:rPr>
          <w:rFonts w:ascii="DFPHei Std W7" w:eastAsia="DFPHei Std W7" w:hAnsi="DFPHei Std W7" w:cs="DFPHei Std W7" w:hint="eastAsia"/>
          <w:sz w:val="24"/>
          <w:szCs w:val="24"/>
          <w:lang w:eastAsia="zh-CN"/>
        </w:rPr>
        <w:t>(</w:t>
      </w:r>
      <w:r>
        <w:rPr>
          <w:rFonts w:ascii="DFPHei Std W7" w:eastAsia="DFPHei Std W7" w:hAnsi="DFPHei Std W7" w:cs="DFPHei Std W7" w:hint="eastAsia"/>
          <w:sz w:val="24"/>
          <w:szCs w:val="24"/>
          <w:lang w:eastAsia="zh-CN"/>
        </w:rPr>
        <w:t>北京</w:t>
      </w:r>
      <w:r>
        <w:rPr>
          <w:rFonts w:ascii="DFPHei Std W7" w:eastAsia="DFPHei Std W7" w:hAnsi="DFPHei Std W7" w:cs="DFPHei Std W7" w:hint="eastAsia"/>
          <w:sz w:val="24"/>
          <w:szCs w:val="24"/>
          <w:lang w:eastAsia="zh-CN"/>
        </w:rPr>
        <w:t>)</w:t>
      </w:r>
      <w:r>
        <w:rPr>
          <w:rFonts w:ascii="DFPHei Std W7" w:eastAsia="DFPHei Std W7" w:hAnsi="DFPHei Std W7" w:cs="DFPHei Std W7" w:hint="eastAsia"/>
          <w:sz w:val="24"/>
          <w:szCs w:val="24"/>
          <w:lang w:eastAsia="zh-CN"/>
        </w:rPr>
        <w:t>国际黄金投资论坛”的成功召开，是世界黄金协会深耕中国市场的又一里程碑。未来，世界黄金协会将继续推动行业创新与广泛合作，发挥中国在全球黄金市场的重要作用，推动中国黄金领域的可持续和数字化创新发展。</w:t>
      </w:r>
    </w:p>
    <w:tbl>
      <w:tblPr>
        <w:tblpPr w:leftFromText="180" w:rightFromText="180" w:vertAnchor="text" w:horzAnchor="margin" w:tblpX="398" w:tblpY="467"/>
        <w:tblW w:w="8213" w:type="dxa"/>
        <w:tblLayout w:type="fixed"/>
        <w:tblCellMar>
          <w:left w:w="0" w:type="dxa"/>
          <w:right w:w="0" w:type="dxa"/>
        </w:tblCellMar>
        <w:tblLook w:val="04A0" w:firstRow="1" w:lastRow="0" w:firstColumn="1" w:lastColumn="0" w:noHBand="0" w:noVBand="1"/>
      </w:tblPr>
      <w:tblGrid>
        <w:gridCol w:w="8213"/>
      </w:tblGrid>
      <w:tr w:rsidR="00431722" w14:paraId="0F0C1B72" w14:textId="77777777">
        <w:trPr>
          <w:trHeight w:val="3357"/>
        </w:trPr>
        <w:tc>
          <w:tcPr>
            <w:tcW w:w="8213" w:type="dxa"/>
          </w:tcPr>
          <w:bookmarkEnd w:id="0"/>
          <w:p w14:paraId="36A80EEF" w14:textId="77777777" w:rsidR="00431722" w:rsidRDefault="00802129">
            <w:pPr>
              <w:widowControl w:val="0"/>
              <w:autoSpaceDE w:val="0"/>
              <w:autoSpaceDN w:val="0"/>
              <w:snapToGrid w:val="0"/>
              <w:spacing w:line="280" w:lineRule="exact"/>
              <w:ind w:firstLineChars="200" w:firstLine="400"/>
              <w:rPr>
                <w:rFonts w:ascii="DFPHei Std W7" w:eastAsia="DFPHei Std W7" w:hAnsi="DFPHei Std W7" w:cs="DFPHei Std W7"/>
                <w:b/>
                <w:i/>
                <w:lang w:eastAsia="zh-CN" w:bidi="en-GB"/>
              </w:rPr>
            </w:pPr>
            <w:r>
              <w:rPr>
                <w:rFonts w:ascii="DFPHei Std W7" w:eastAsia="DFPHei Std W7" w:hAnsi="DFPHei Std W7" w:cs="DFPHei Std W7" w:hint="eastAsia"/>
                <w:noProof/>
              </w:rPr>
              <w:drawing>
                <wp:anchor distT="0" distB="0" distL="0" distR="0" simplePos="0" relativeHeight="251659264" behindDoc="0" locked="0" layoutInCell="1" allowOverlap="1" wp14:anchorId="71C63FA2" wp14:editId="5D841FDD">
                  <wp:simplePos x="0" y="0"/>
                  <wp:positionH relativeFrom="page">
                    <wp:posOffset>440690</wp:posOffset>
                  </wp:positionH>
                  <wp:positionV relativeFrom="paragraph">
                    <wp:posOffset>351155</wp:posOffset>
                  </wp:positionV>
                  <wp:extent cx="1149350" cy="1069975"/>
                  <wp:effectExtent l="0" t="0" r="0" b="0"/>
                  <wp:wrapTopAndBottom/>
                  <wp:docPr id="5" name="image1.png"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Qr cod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3622" b="3532"/>
                          <a:stretch>
                            <a:fillRect/>
                          </a:stretch>
                        </pic:blipFill>
                        <pic:spPr>
                          <a:xfrm>
                            <a:off x="0" y="0"/>
                            <a:ext cx="1149350" cy="1069975"/>
                          </a:xfrm>
                          <a:prstGeom prst="rect">
                            <a:avLst/>
                          </a:prstGeom>
                          <a:noFill/>
                        </pic:spPr>
                      </pic:pic>
                    </a:graphicData>
                  </a:graphic>
                </wp:anchor>
              </w:drawing>
            </w:r>
            <w:r>
              <w:rPr>
                <w:rFonts w:ascii="DFPHei Std W7" w:eastAsia="DFPHei Std W7" w:hAnsi="DFPHei Std W7" w:cs="DFPHei Std W7" w:hint="eastAsia"/>
                <w:noProof/>
              </w:rPr>
              <w:drawing>
                <wp:anchor distT="0" distB="0" distL="0" distR="0" simplePos="0" relativeHeight="251660288" behindDoc="0" locked="0" layoutInCell="1" allowOverlap="1" wp14:anchorId="30C73E6C" wp14:editId="66B2869B">
                  <wp:simplePos x="0" y="0"/>
                  <wp:positionH relativeFrom="page">
                    <wp:posOffset>3398520</wp:posOffset>
                  </wp:positionH>
                  <wp:positionV relativeFrom="paragraph">
                    <wp:posOffset>381000</wp:posOffset>
                  </wp:positionV>
                  <wp:extent cx="1031875" cy="1031875"/>
                  <wp:effectExtent l="0" t="0" r="0" b="0"/>
                  <wp:wrapTopAndBottom/>
                  <wp:docPr id="4" name="image2.jpeg"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Qr cod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31875" cy="1031875"/>
                          </a:xfrm>
                          <a:prstGeom prst="rect">
                            <a:avLst/>
                          </a:prstGeom>
                          <a:noFill/>
                        </pic:spPr>
                      </pic:pic>
                    </a:graphicData>
                  </a:graphic>
                </wp:anchor>
              </w:drawing>
            </w:r>
            <w:r>
              <w:rPr>
                <w:rFonts w:ascii="DFPHei Std W7" w:eastAsia="DFPHei Std W7" w:hAnsi="DFPHei Std W7" w:cs="DFPHei Std W7" w:hint="eastAsia"/>
                <w:b/>
                <w:i/>
                <w:lang w:eastAsia="zh-CN" w:bidi="en-GB"/>
              </w:rPr>
              <w:t>扫描下方二维码，关注“世界黄金协会”官方微信、微博账号，获取最新资讯。</w:t>
            </w:r>
          </w:p>
          <w:p w14:paraId="6851BDAA" w14:textId="77777777" w:rsidR="00431722" w:rsidRDefault="00431722">
            <w:pPr>
              <w:widowControl w:val="0"/>
              <w:autoSpaceDE w:val="0"/>
              <w:autoSpaceDN w:val="0"/>
              <w:snapToGrid w:val="0"/>
              <w:spacing w:line="280" w:lineRule="exact"/>
              <w:rPr>
                <w:rFonts w:ascii="DFPHei Std W7" w:eastAsia="DFPHei Std W7" w:hAnsi="DFPHei Std W7" w:cs="DFPHei Std W7"/>
                <w:b/>
                <w:i/>
                <w:lang w:eastAsia="zh-CN" w:bidi="en-GB"/>
              </w:rPr>
            </w:pPr>
          </w:p>
          <w:p w14:paraId="22E6109B" w14:textId="77777777" w:rsidR="00431722" w:rsidRDefault="00802129">
            <w:pPr>
              <w:widowControl w:val="0"/>
              <w:autoSpaceDE w:val="0"/>
              <w:autoSpaceDN w:val="0"/>
              <w:snapToGrid w:val="0"/>
              <w:spacing w:line="280" w:lineRule="exact"/>
              <w:rPr>
                <w:rFonts w:ascii="DFPHei Std W7" w:eastAsia="DFPHei Std W7" w:hAnsi="DFPHei Std W7" w:cs="DFPHei Std W7"/>
                <w:lang w:eastAsia="zh-CN" w:bidi="en-GB"/>
              </w:rPr>
            </w:pPr>
            <w:r>
              <w:rPr>
                <w:rFonts w:ascii="DFPHei Std W7" w:eastAsia="DFPHei Std W7" w:hAnsi="DFPHei Std W7" w:cs="DFPHei Std W7" w:hint="eastAsia"/>
                <w:lang w:eastAsia="zh-CN" w:bidi="en-GB"/>
              </w:rPr>
              <w:t xml:space="preserve">      </w:t>
            </w:r>
            <w:r>
              <w:rPr>
                <w:rFonts w:ascii="DFPHei Std W7" w:eastAsia="DFPHei Std W7" w:hAnsi="DFPHei Std W7" w:cs="DFPHei Std W7" w:hint="eastAsia"/>
                <w:lang w:eastAsia="zh-CN" w:bidi="en-GB"/>
              </w:rPr>
              <w:t>世界黄金协会官方微信</w:t>
            </w:r>
            <w:r>
              <w:rPr>
                <w:rFonts w:ascii="DFPHei Std W7" w:eastAsia="DFPHei Std W7" w:hAnsi="DFPHei Std W7" w:cs="DFPHei Std W7" w:hint="eastAsia"/>
                <w:lang w:eastAsia="zh-CN" w:bidi="en-GB"/>
              </w:rPr>
              <w:t xml:space="preserve">                         </w:t>
            </w:r>
            <w:r>
              <w:rPr>
                <w:rFonts w:ascii="DFPHei Std W7" w:eastAsia="DFPHei Std W7" w:hAnsi="DFPHei Std W7" w:cs="DFPHei Std W7" w:hint="eastAsia"/>
                <w:lang w:eastAsia="zh-CN" w:bidi="en-GB"/>
              </w:rPr>
              <w:t>世界黄金协会官方微博</w:t>
            </w:r>
          </w:p>
          <w:p w14:paraId="6F17C8B9" w14:textId="77777777" w:rsidR="00431722" w:rsidRDefault="00431722">
            <w:pPr>
              <w:widowControl w:val="0"/>
              <w:autoSpaceDE w:val="0"/>
              <w:autoSpaceDN w:val="0"/>
              <w:snapToGrid w:val="0"/>
              <w:spacing w:line="280" w:lineRule="exact"/>
              <w:rPr>
                <w:rFonts w:ascii="DFPHei Std W7" w:eastAsia="DFPHei Std W7" w:hAnsi="DFPHei Std W7" w:cs="DFPHei Std W7"/>
                <w:lang w:eastAsia="zh-CN" w:bidi="en-GB"/>
              </w:rPr>
            </w:pPr>
          </w:p>
          <w:p w14:paraId="7E7C46CE" w14:textId="77777777" w:rsidR="00431722" w:rsidRDefault="00802129">
            <w:pPr>
              <w:widowControl w:val="0"/>
              <w:autoSpaceDE w:val="0"/>
              <w:autoSpaceDN w:val="0"/>
              <w:snapToGrid w:val="0"/>
              <w:spacing w:line="280" w:lineRule="exact"/>
              <w:contextualSpacing/>
              <w:rPr>
                <w:rFonts w:ascii="DFPHei Std W7" w:eastAsia="DFPHei Std W7" w:hAnsi="DFPHei Std W7" w:cs="DFPHei Std W7"/>
                <w:szCs w:val="17"/>
                <w:lang w:eastAsia="zh-CN" w:bidi="en-GB"/>
              </w:rPr>
            </w:pPr>
            <w:r>
              <w:rPr>
                <w:rFonts w:ascii="DFPHei Std W7" w:eastAsia="DFPHei Std W7" w:hAnsi="DFPHei Std W7" w:cs="DFPHei Std W7" w:hint="eastAsia"/>
                <w:szCs w:val="17"/>
                <w:lang w:eastAsia="zh-CN" w:bidi="en-GB"/>
              </w:rPr>
              <w:t>如需更多信息，请联系：</w:t>
            </w:r>
          </w:p>
          <w:p w14:paraId="00B558BB" w14:textId="77777777" w:rsidR="00431722" w:rsidRDefault="00431722">
            <w:pPr>
              <w:widowControl w:val="0"/>
              <w:autoSpaceDE w:val="0"/>
              <w:autoSpaceDN w:val="0"/>
              <w:snapToGrid w:val="0"/>
              <w:spacing w:line="280" w:lineRule="exact"/>
              <w:contextualSpacing/>
              <w:rPr>
                <w:rFonts w:ascii="DFPHei Std W7" w:eastAsia="DFPHei Std W7" w:hAnsi="DFPHei Std W7" w:cs="DFPHei Std W7"/>
                <w:szCs w:val="17"/>
                <w:lang w:eastAsia="zh-CN" w:bidi="en-GB"/>
              </w:rPr>
            </w:pPr>
          </w:p>
          <w:p w14:paraId="4819B634" w14:textId="77777777" w:rsidR="00431722" w:rsidRDefault="00802129">
            <w:pPr>
              <w:widowControl w:val="0"/>
              <w:autoSpaceDE w:val="0"/>
              <w:autoSpaceDN w:val="0"/>
              <w:snapToGrid w:val="0"/>
              <w:spacing w:line="280" w:lineRule="exact"/>
              <w:contextualSpacing/>
              <w:rPr>
                <w:rFonts w:ascii="DFPHei Std W7" w:eastAsia="DFPHei Std W7" w:hAnsi="DFPHei Std W7" w:cs="DFPHei Std W7"/>
                <w:b/>
                <w:bCs/>
                <w:szCs w:val="17"/>
                <w:lang w:eastAsia="zh-CN" w:bidi="en-GB"/>
              </w:rPr>
            </w:pPr>
            <w:r>
              <w:rPr>
                <w:rFonts w:ascii="DFPHei Std W7" w:eastAsia="DFPHei Std W7" w:hAnsi="DFPHei Std W7" w:cs="DFPHei Std W7" w:hint="eastAsia"/>
                <w:b/>
                <w:bCs/>
                <w:szCs w:val="17"/>
                <w:lang w:eastAsia="zh-CN" w:bidi="en-GB"/>
              </w:rPr>
              <w:t>世界黄金协会</w:t>
            </w:r>
          </w:p>
          <w:p w14:paraId="1D6FD28B" w14:textId="77777777" w:rsidR="00431722" w:rsidRDefault="00431722">
            <w:pPr>
              <w:suppressAutoHyphens/>
              <w:jc w:val="both"/>
              <w:rPr>
                <w:rFonts w:ascii="DFPHei Std W7" w:eastAsia="DFPHei Std W7" w:hAnsi="DFPHei Std W7" w:cs="DFPHei Std W7"/>
                <w:color w:val="000000"/>
                <w:szCs w:val="20"/>
                <w:lang w:val="de-DE" w:eastAsia="zh-CN"/>
              </w:rPr>
            </w:pPr>
          </w:p>
          <w:p w14:paraId="65ECE1C8" w14:textId="77777777" w:rsidR="00431722" w:rsidRDefault="00802129">
            <w:pPr>
              <w:suppressAutoHyphens/>
              <w:jc w:val="both"/>
              <w:rPr>
                <w:rFonts w:ascii="DFPHei Std W7" w:eastAsia="DFPHei Std W7" w:hAnsi="DFPHei Std W7" w:cs="DFPHei Std W7"/>
                <w:color w:val="000000"/>
                <w:szCs w:val="20"/>
                <w:lang w:eastAsia="zh-CN"/>
              </w:rPr>
            </w:pPr>
            <w:r>
              <w:rPr>
                <w:rFonts w:ascii="DFPHei Std W7" w:eastAsia="DFPHei Std W7" w:hAnsi="DFPHei Std W7" w:cs="DFPHei Std W7" w:hint="eastAsia"/>
                <w:color w:val="000000"/>
                <w:szCs w:val="20"/>
                <w:lang w:val="de-DE" w:eastAsia="zh-CN"/>
              </w:rPr>
              <w:t>张虹</w:t>
            </w:r>
            <w:r>
              <w:rPr>
                <w:rFonts w:ascii="DFPHei Std W7" w:eastAsia="DFPHei Std W7" w:hAnsi="DFPHei Std W7" w:cs="DFPHei Std W7" w:hint="eastAsia"/>
                <w:color w:val="000000"/>
                <w:szCs w:val="20"/>
                <w:lang w:val="de-DE"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t xml:space="preserve">                     </w:t>
            </w:r>
            <w:r>
              <w:rPr>
                <w:rFonts w:ascii="DFPHei Std W7" w:eastAsia="DFPHei Std W7" w:hAnsi="DFPHei Std W7" w:cs="DFPHei Std W7" w:hint="eastAsia"/>
                <w:color w:val="000000"/>
                <w:szCs w:val="20"/>
                <w:lang w:eastAsia="zh-CN"/>
              </w:rPr>
              <w:t>葛思威</w:t>
            </w:r>
          </w:p>
          <w:p w14:paraId="4B9E93D7" w14:textId="77777777" w:rsidR="00431722" w:rsidRDefault="00802129">
            <w:pPr>
              <w:suppressAutoHyphens/>
              <w:jc w:val="both"/>
              <w:rPr>
                <w:rFonts w:ascii="DFPHei Std W7" w:eastAsia="DFPHei Std W7" w:hAnsi="DFPHei Std W7" w:cs="DFPHei Std W7"/>
                <w:color w:val="000000"/>
                <w:szCs w:val="20"/>
                <w:lang w:eastAsia="zh-CN"/>
              </w:rPr>
            </w:pPr>
            <w:r>
              <w:rPr>
                <w:rFonts w:ascii="DFPHei Std W7" w:eastAsia="DFPHei Std W7" w:hAnsi="DFPHei Std W7" w:cs="DFPHei Std W7" w:hint="eastAsia"/>
                <w:color w:val="000000"/>
                <w:szCs w:val="20"/>
                <w:lang w:val="de-DE" w:eastAsia="zh-CN"/>
              </w:rPr>
              <w:t>电话：</w:t>
            </w:r>
            <w:r>
              <w:rPr>
                <w:rFonts w:ascii="DFPHei Std W7" w:eastAsia="DFPHei Std W7" w:hAnsi="DFPHei Std W7" w:cs="DFPHei Std W7" w:hint="eastAsia"/>
                <w:color w:val="000000"/>
                <w:szCs w:val="20"/>
                <w:lang w:eastAsia="zh-CN"/>
              </w:rPr>
              <w:t>13811393749</w:t>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t xml:space="preserve">              </w:t>
            </w:r>
            <w:r>
              <w:rPr>
                <w:rFonts w:ascii="DFPHei Std W7" w:eastAsia="DFPHei Std W7" w:hAnsi="DFPHei Std W7" w:cs="DFPHei Std W7" w:hint="eastAsia"/>
                <w:color w:val="000000"/>
                <w:szCs w:val="20"/>
                <w:lang w:val="en-US" w:eastAsia="zh-CN"/>
              </w:rPr>
              <w:t xml:space="preserve"> </w:t>
            </w:r>
            <w:r>
              <w:rPr>
                <w:rFonts w:ascii="DFPHei Std W7" w:eastAsia="DFPHei Std W7" w:hAnsi="DFPHei Std W7" w:cs="DFPHei Std W7" w:hint="eastAsia"/>
                <w:color w:val="000000"/>
                <w:szCs w:val="20"/>
                <w:lang w:eastAsia="zh-CN"/>
              </w:rPr>
              <w:t>电话：</w:t>
            </w:r>
            <w:r>
              <w:rPr>
                <w:rFonts w:ascii="DFPHei Std W7" w:eastAsia="DFPHei Std W7" w:hAnsi="DFPHei Std W7" w:cs="DFPHei Std W7" w:hint="eastAsia"/>
                <w:color w:val="000000"/>
                <w:szCs w:val="20"/>
                <w:lang w:eastAsia="zh-CN"/>
              </w:rPr>
              <w:t>18519154923</w:t>
            </w:r>
          </w:p>
          <w:p w14:paraId="1D9A854F" w14:textId="541482B2" w:rsidR="00431722" w:rsidRDefault="00802129">
            <w:pPr>
              <w:suppressAutoHyphens/>
              <w:jc w:val="both"/>
              <w:rPr>
                <w:rFonts w:ascii="DFPHei Std W7" w:eastAsia="DFPHei Std W7" w:hAnsi="DFPHei Std W7" w:cs="DFPHei Std W7"/>
                <w:color w:val="000000"/>
                <w:szCs w:val="20"/>
                <w:u w:val="single"/>
                <w:lang w:eastAsia="zh-CN"/>
              </w:rPr>
            </w:pPr>
            <w:r>
              <w:rPr>
                <w:rFonts w:ascii="DFPHei Std W7" w:eastAsia="DFPHei Std W7" w:hAnsi="DFPHei Std W7" w:cs="DFPHei Std W7" w:hint="eastAsia"/>
                <w:color w:val="000000"/>
                <w:szCs w:val="20"/>
                <w:lang w:val="de-DE" w:eastAsia="zh-CN"/>
              </w:rPr>
              <w:t>电邮：</w:t>
            </w:r>
            <w:r>
              <w:rPr>
                <w:rFonts w:ascii="DFPHei Std W7" w:eastAsia="DFPHei Std W7" w:hAnsi="DFPHei Std W7" w:cs="DFPHei Std W7" w:hint="eastAsia"/>
                <w:color w:val="000000"/>
                <w:szCs w:val="20"/>
                <w:u w:val="single"/>
                <w:lang w:eastAsia="zh-CN"/>
              </w:rPr>
              <w:t>hong.zhang@gold.org</w:t>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val="en-US" w:eastAsia="zh-CN"/>
              </w:rPr>
              <w:t xml:space="preserve">         </w:t>
            </w:r>
            <w:r>
              <w:rPr>
                <w:rFonts w:ascii="DFPHei Std W7" w:eastAsia="DFPHei Std W7" w:hAnsi="DFPHei Std W7" w:cs="DFPHei Std W7" w:hint="eastAsia"/>
                <w:color w:val="000000"/>
                <w:szCs w:val="20"/>
                <w:lang w:eastAsia="zh-CN"/>
              </w:rPr>
              <w:t>电邮：</w:t>
            </w:r>
            <w:hyperlink r:id="rId22" w:history="1">
              <w:r w:rsidR="00C8380B" w:rsidRPr="00D6098F">
                <w:rPr>
                  <w:rStyle w:val="Hyperlink"/>
                  <w:rFonts w:ascii="DFPHei Std W7" w:eastAsia="DFPHei Std W7" w:hAnsi="DFPHei Std W7" w:cs="DFPHei Std W7" w:hint="eastAsia"/>
                  <w:szCs w:val="20"/>
                  <w:lang w:eastAsia="zh-CN"/>
                </w:rPr>
                <w:t>siwei.ge@gold.org</w:t>
              </w:r>
            </w:hyperlink>
          </w:p>
          <w:p w14:paraId="0FB675AC" w14:textId="3814954B" w:rsidR="00C8380B" w:rsidRDefault="00C8380B">
            <w:pPr>
              <w:suppressAutoHyphens/>
              <w:jc w:val="both"/>
              <w:rPr>
                <w:rFonts w:ascii="DFPHei Std W7" w:eastAsia="DFPHei Std W7" w:hAnsi="DFPHei Std W7" w:cs="DFPHei Std W7"/>
                <w:color w:val="000000"/>
                <w:szCs w:val="20"/>
                <w:u w:val="single"/>
                <w:lang w:eastAsia="zh-CN"/>
              </w:rPr>
            </w:pPr>
          </w:p>
          <w:p w14:paraId="7753C943" w14:textId="7C42F7B3" w:rsidR="00C8380B" w:rsidRPr="00C8380B" w:rsidRDefault="00C8380B" w:rsidP="00C8380B">
            <w:pPr>
              <w:suppressAutoHyphens/>
              <w:jc w:val="both"/>
              <w:rPr>
                <w:rFonts w:ascii="DFPHei Std W7" w:eastAsia="DFPHei Std W7" w:hAnsi="DFPHei Std W7" w:cs="DFPHei Std W7" w:hint="eastAsia"/>
                <w:b/>
                <w:bCs/>
                <w:color w:val="000000"/>
                <w:szCs w:val="20"/>
                <w:lang w:val="de-DE" w:eastAsia="zh-CN"/>
              </w:rPr>
            </w:pPr>
            <w:r w:rsidRPr="00C8380B">
              <w:rPr>
                <w:rFonts w:ascii="DFPHei Std W7" w:eastAsia="DFPHei Std W7" w:hAnsi="DFPHei Std W7" w:cs="DFPHei Std W7" w:hint="eastAsia"/>
                <w:b/>
                <w:bCs/>
                <w:color w:val="000000"/>
                <w:szCs w:val="20"/>
                <w:lang w:val="de-DE" w:eastAsia="zh-CN"/>
              </w:rPr>
              <w:t>爱德曼国际公关</w:t>
            </w:r>
          </w:p>
          <w:p w14:paraId="2B91E1F9" w14:textId="77777777" w:rsidR="00C8380B" w:rsidRDefault="00C8380B" w:rsidP="00C8380B">
            <w:pPr>
              <w:suppressAutoHyphens/>
              <w:jc w:val="both"/>
              <w:rPr>
                <w:rFonts w:ascii="DFPHei Std W7" w:eastAsia="DFPHei Std W7" w:hAnsi="DFPHei Std W7" w:cs="DFPHei Std W7"/>
                <w:color w:val="000000"/>
                <w:szCs w:val="20"/>
                <w:lang w:val="de-DE" w:eastAsia="zh-CN"/>
              </w:rPr>
            </w:pPr>
          </w:p>
          <w:p w14:paraId="3EBE6450" w14:textId="45393323" w:rsidR="00C8380B" w:rsidRDefault="00C8380B" w:rsidP="00C8380B">
            <w:pPr>
              <w:suppressAutoHyphens/>
              <w:jc w:val="both"/>
              <w:rPr>
                <w:rFonts w:ascii="DFPHei Std W7" w:eastAsia="DFPHei Std W7" w:hAnsi="DFPHei Std W7" w:cs="DFPHei Std W7"/>
                <w:color w:val="000000"/>
                <w:szCs w:val="20"/>
                <w:lang w:eastAsia="zh-CN"/>
              </w:rPr>
            </w:pPr>
            <w:r>
              <w:rPr>
                <w:rFonts w:ascii="DFPHei Std W7" w:eastAsia="DFPHei Std W7" w:hAnsi="DFPHei Std W7" w:cs="DFPHei Std W7" w:hint="eastAsia"/>
                <w:color w:val="000000"/>
                <w:szCs w:val="20"/>
                <w:lang w:val="de-DE" w:eastAsia="zh-CN"/>
              </w:rPr>
              <w:t>魏思卡</w:t>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t xml:space="preserve">                     </w:t>
            </w:r>
            <w:r>
              <w:rPr>
                <w:rFonts w:ascii="DFPHei Std W7" w:eastAsia="DFPHei Std W7" w:hAnsi="DFPHei Std W7" w:cs="DFPHei Std W7" w:hint="eastAsia"/>
                <w:color w:val="000000"/>
                <w:szCs w:val="20"/>
                <w:lang w:eastAsia="zh-CN"/>
              </w:rPr>
              <w:t>程舒婷</w:t>
            </w:r>
          </w:p>
          <w:p w14:paraId="291B1EC4" w14:textId="064F1A80" w:rsidR="00C8380B" w:rsidRDefault="00C8380B" w:rsidP="00C8380B">
            <w:pPr>
              <w:suppressAutoHyphens/>
              <w:jc w:val="both"/>
              <w:rPr>
                <w:rFonts w:ascii="DFPHei Std W7" w:eastAsia="DFPHei Std W7" w:hAnsi="DFPHei Std W7" w:cs="DFPHei Std W7"/>
                <w:color w:val="000000"/>
                <w:szCs w:val="20"/>
                <w:lang w:eastAsia="zh-CN"/>
              </w:rPr>
            </w:pPr>
            <w:r>
              <w:rPr>
                <w:rFonts w:ascii="DFPHei Std W7" w:eastAsia="DFPHei Std W7" w:hAnsi="DFPHei Std W7" w:cs="DFPHei Std W7" w:hint="eastAsia"/>
                <w:color w:val="000000"/>
                <w:szCs w:val="20"/>
                <w:lang w:val="de-DE" w:eastAsia="zh-CN"/>
              </w:rPr>
              <w:t>电话：</w:t>
            </w:r>
            <w:r w:rsidRPr="00C8380B">
              <w:rPr>
                <w:rFonts w:ascii="DFPHei Std W7" w:eastAsia="DFPHei Std W7" w:hAnsi="DFPHei Std W7" w:cs="DFPHei Std W7"/>
                <w:color w:val="000000"/>
                <w:szCs w:val="20"/>
                <w:lang w:eastAsia="zh-CN"/>
              </w:rPr>
              <w:t>13426188243</w:t>
            </w:r>
            <w:r>
              <w:rPr>
                <w:rFonts w:ascii="DFPHei Std W7" w:eastAsia="DFPHei Std W7" w:hAnsi="DFPHei Std W7" w:cs="DFPHei Std W7" w:hint="eastAsia"/>
                <w:color w:val="000000"/>
                <w:szCs w:val="20"/>
                <w:lang w:eastAsia="zh-CN"/>
              </w:rPr>
              <w:tab/>
              <w:t xml:space="preserve">              </w:t>
            </w:r>
            <w:r>
              <w:rPr>
                <w:rFonts w:ascii="DFPHei Std W7" w:eastAsia="DFPHei Std W7" w:hAnsi="DFPHei Std W7" w:cs="DFPHei Std W7" w:hint="eastAsia"/>
                <w:color w:val="000000"/>
                <w:szCs w:val="20"/>
                <w:lang w:val="en-US" w:eastAsia="zh-CN"/>
              </w:rPr>
              <w:t xml:space="preserve"> </w:t>
            </w:r>
            <w:r>
              <w:rPr>
                <w:rFonts w:ascii="DFPHei Std W7" w:eastAsia="DFPHei Std W7" w:hAnsi="DFPHei Std W7" w:cs="DFPHei Std W7"/>
                <w:color w:val="000000"/>
                <w:szCs w:val="20"/>
                <w:lang w:val="en-US" w:eastAsia="zh-CN"/>
              </w:rPr>
              <w:t xml:space="preserve">      </w:t>
            </w:r>
            <w:r>
              <w:rPr>
                <w:rFonts w:ascii="DFPHei Std W7" w:eastAsia="DFPHei Std W7" w:hAnsi="DFPHei Std W7" w:cs="DFPHei Std W7" w:hint="eastAsia"/>
                <w:color w:val="000000"/>
                <w:szCs w:val="20"/>
                <w:lang w:eastAsia="zh-CN"/>
              </w:rPr>
              <w:t>电话：1</w:t>
            </w:r>
            <w:r>
              <w:rPr>
                <w:rFonts w:ascii="DFPHei Std W7" w:eastAsia="DFPHei Std W7" w:hAnsi="DFPHei Std W7" w:cs="DFPHei Std W7"/>
                <w:color w:val="000000"/>
                <w:szCs w:val="20"/>
                <w:lang w:eastAsia="zh-CN"/>
              </w:rPr>
              <w:t>3573276156</w:t>
            </w:r>
          </w:p>
          <w:p w14:paraId="1078068B" w14:textId="7D802A0A" w:rsidR="00C8380B" w:rsidRDefault="00C8380B" w:rsidP="00C8380B">
            <w:pPr>
              <w:suppressAutoHyphens/>
              <w:jc w:val="both"/>
              <w:rPr>
                <w:rFonts w:ascii="DFPHei Std W7" w:eastAsia="DFPHei Std W7" w:hAnsi="DFPHei Std W7" w:cs="DFPHei Std W7"/>
                <w:color w:val="000000"/>
                <w:szCs w:val="20"/>
                <w:u w:val="single"/>
                <w:lang w:eastAsia="zh-CN"/>
              </w:rPr>
            </w:pPr>
            <w:r>
              <w:rPr>
                <w:rFonts w:ascii="DFPHei Std W7" w:eastAsia="DFPHei Std W7" w:hAnsi="DFPHei Std W7" w:cs="DFPHei Std W7" w:hint="eastAsia"/>
                <w:color w:val="000000"/>
                <w:szCs w:val="20"/>
                <w:lang w:val="de-DE" w:eastAsia="zh-CN"/>
              </w:rPr>
              <w:t>电邮：</w:t>
            </w:r>
            <w:r w:rsidRPr="00C8380B">
              <w:rPr>
                <w:rFonts w:ascii="DFPHei Std W7" w:eastAsia="DFPHei Std W7" w:hAnsi="DFPHei Std W7" w:cs="DFPHei Std W7"/>
                <w:color w:val="000000"/>
                <w:szCs w:val="20"/>
                <w:u w:val="single"/>
                <w:lang w:eastAsia="zh-CN"/>
              </w:rPr>
              <w:t>sika.wei@edelman.com</w:t>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val="en-US" w:eastAsia="zh-CN"/>
              </w:rPr>
              <w:t xml:space="preserve">         </w:t>
            </w:r>
            <w:r>
              <w:rPr>
                <w:rFonts w:ascii="DFPHei Std W7" w:eastAsia="DFPHei Std W7" w:hAnsi="DFPHei Std W7" w:cs="DFPHei Std W7" w:hint="eastAsia"/>
                <w:color w:val="000000"/>
                <w:szCs w:val="20"/>
                <w:lang w:eastAsia="zh-CN"/>
              </w:rPr>
              <w:t>电邮：</w:t>
            </w:r>
            <w:hyperlink r:id="rId23" w:history="1">
              <w:r w:rsidRPr="00D6098F">
                <w:rPr>
                  <w:rStyle w:val="Hyperlink"/>
                  <w:rFonts w:ascii="DFPHei Std W7" w:eastAsia="DFPHei Std W7" w:hAnsi="DFPHei Std W7" w:cs="DFPHei Std W7" w:hint="eastAsia"/>
                  <w:szCs w:val="20"/>
                  <w:lang w:eastAsia="zh-CN"/>
                </w:rPr>
                <w:t>s</w:t>
              </w:r>
              <w:r w:rsidRPr="00D6098F">
                <w:rPr>
                  <w:rStyle w:val="Hyperlink"/>
                  <w:rFonts w:ascii="DFPHei Std W7" w:eastAsia="DFPHei Std W7" w:hAnsi="DFPHei Std W7" w:cs="DFPHei Std W7"/>
                  <w:szCs w:val="20"/>
                  <w:lang w:eastAsia="zh-CN"/>
                </w:rPr>
                <w:t>ybil.cheng@edelman.com</w:t>
              </w:r>
            </w:hyperlink>
          </w:p>
          <w:p w14:paraId="4BF8F83F" w14:textId="77777777" w:rsidR="00431722" w:rsidRDefault="00802129">
            <w:pPr>
              <w:suppressAutoHyphens/>
              <w:autoSpaceDE w:val="0"/>
              <w:autoSpaceDN w:val="0"/>
              <w:adjustRightInd w:val="0"/>
              <w:jc w:val="both"/>
              <w:rPr>
                <w:rFonts w:ascii="DFPHei Std W7" w:eastAsia="DFPHei Std W7" w:hAnsi="DFPHei Std W7" w:cs="DFPHei Std W7"/>
                <w:color w:val="000000"/>
                <w:szCs w:val="20"/>
                <w:u w:val="single"/>
                <w:lang w:eastAsia="zh-CN"/>
              </w:rPr>
            </w:pPr>
            <w:r>
              <w:rPr>
                <w:rFonts w:ascii="DFPHei Std W7" w:eastAsia="DFPHei Std W7" w:hAnsi="DFPHei Std W7" w:cs="DFPHei Std W7" w:hint="eastAsia"/>
                <w:lang w:eastAsia="zh-CN" w:bidi="en-GB"/>
              </w:rPr>
              <w:t xml:space="preserve">   </w:t>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r>
              <w:rPr>
                <w:rFonts w:ascii="DFPHei Std W7" w:eastAsia="DFPHei Std W7" w:hAnsi="DFPHei Std W7" w:cs="DFPHei Std W7" w:hint="eastAsia"/>
                <w:color w:val="000000"/>
                <w:szCs w:val="20"/>
                <w:lang w:eastAsia="zh-CN"/>
              </w:rPr>
              <w:tab/>
            </w:r>
          </w:p>
          <w:p w14:paraId="29586CD8" w14:textId="77777777" w:rsidR="00431722" w:rsidRDefault="00802129">
            <w:pPr>
              <w:widowControl w:val="0"/>
              <w:autoSpaceDE w:val="0"/>
              <w:autoSpaceDN w:val="0"/>
              <w:spacing w:before="34" w:line="268" w:lineRule="auto"/>
              <w:ind w:right="157"/>
              <w:rPr>
                <w:rFonts w:ascii="DFPHei Std W7" w:eastAsia="DFPHei Std W7" w:hAnsi="DFPHei Std W7" w:cs="DFPHei Std W7"/>
                <w:b/>
                <w:bCs/>
                <w:lang w:eastAsia="zh-CN" w:bidi="en-GB"/>
              </w:rPr>
            </w:pPr>
            <w:r>
              <w:rPr>
                <w:rFonts w:ascii="DFPHei Std W7" w:eastAsia="DFPHei Std W7" w:hAnsi="DFPHei Std W7" w:cs="DFPHei Std W7" w:hint="eastAsia"/>
                <w:b/>
                <w:bCs/>
                <w:lang w:eastAsia="zh-CN" w:bidi="en-GB"/>
              </w:rPr>
              <w:t>关于世界黄金协会：</w:t>
            </w:r>
          </w:p>
          <w:p w14:paraId="405459C9" w14:textId="77777777" w:rsidR="00431722" w:rsidRDefault="00802129">
            <w:pPr>
              <w:widowControl w:val="0"/>
              <w:autoSpaceDE w:val="0"/>
              <w:autoSpaceDN w:val="0"/>
              <w:spacing w:before="34" w:line="268" w:lineRule="auto"/>
              <w:ind w:right="157"/>
              <w:rPr>
                <w:rFonts w:ascii="DFPHei Std W7" w:eastAsia="DFPHei Std W7" w:hAnsi="DFPHei Std W7" w:cs="DFPHei Std W7"/>
                <w:lang w:eastAsia="zh-CN" w:bidi="en-GB"/>
              </w:rPr>
            </w:pPr>
            <w:r>
              <w:rPr>
                <w:rFonts w:ascii="DFPHei Std W7" w:eastAsia="DFPHei Std W7" w:hAnsi="DFPHei Std W7" w:cs="DFPHei Std W7" w:hint="eastAsia"/>
                <w:lang w:eastAsia="zh-CN" w:bidi="en-GB"/>
              </w:rPr>
              <w:t>世界黄金协会</w:t>
            </w:r>
            <w:r>
              <w:rPr>
                <w:rFonts w:ascii="DFPHei Std W7" w:eastAsia="DFPHei Std W7" w:hAnsi="DFPHei Std W7" w:cs="DFPHei Std W7" w:hint="eastAsia"/>
                <w:color w:val="000000"/>
                <w:szCs w:val="20"/>
                <w:lang w:eastAsia="zh-CN"/>
              </w:rPr>
              <w:t>（</w:t>
            </w:r>
            <w:r>
              <w:rPr>
                <w:rFonts w:ascii="DFPHei Std W7" w:eastAsia="DFPHei Std W7" w:hAnsi="DFPHei Std W7" w:cs="DFPHei Std W7" w:hint="eastAsia"/>
                <w:color w:val="000000"/>
                <w:szCs w:val="20"/>
                <w:lang w:eastAsia="zh-CN"/>
              </w:rPr>
              <w:t xml:space="preserve">World Gold </w:t>
            </w:r>
            <w:r>
              <w:rPr>
                <w:rFonts w:ascii="DFPHei Std W7" w:eastAsia="DFPHei Std W7" w:hAnsi="DFPHei Std W7" w:cs="DFPHei Std W7" w:hint="eastAsia"/>
                <w:color w:val="000000"/>
                <w:szCs w:val="20"/>
                <w:lang w:eastAsia="zh-CN"/>
              </w:rPr>
              <w:t>Council</w:t>
            </w:r>
            <w:r>
              <w:rPr>
                <w:rFonts w:ascii="DFPHei Std W7" w:eastAsia="DFPHei Std W7" w:hAnsi="DFPHei Std W7" w:cs="DFPHei Std W7" w:hint="eastAsia"/>
                <w:color w:val="000000"/>
                <w:szCs w:val="20"/>
                <w:lang w:eastAsia="zh-CN"/>
              </w:rPr>
              <w:t>，</w:t>
            </w:r>
            <w:r>
              <w:rPr>
                <w:rFonts w:ascii="DFPHei Std W7" w:eastAsia="DFPHei Std W7" w:hAnsi="DFPHei Std W7" w:cs="DFPHei Std W7" w:hint="eastAsia"/>
                <w:color w:val="000000"/>
                <w:szCs w:val="20"/>
                <w:lang w:eastAsia="zh-CN"/>
              </w:rPr>
              <w:t>WGC</w:t>
            </w:r>
            <w:r>
              <w:rPr>
                <w:rFonts w:ascii="DFPHei Std W7" w:eastAsia="DFPHei Std W7" w:hAnsi="DFPHei Std W7" w:cs="DFPHei Std W7" w:hint="eastAsia"/>
                <w:color w:val="000000"/>
                <w:szCs w:val="20"/>
                <w:lang w:eastAsia="zh-CN"/>
              </w:rPr>
              <w:t>）</w:t>
            </w:r>
            <w:r>
              <w:rPr>
                <w:rFonts w:ascii="DFPHei Std W7" w:eastAsia="DFPHei Std W7" w:hAnsi="DFPHei Std W7" w:cs="DFPHei Std W7" w:hint="eastAsia"/>
                <w:lang w:eastAsia="zh-CN" w:bidi="en-GB"/>
              </w:rPr>
              <w:t>总部位于英国，业务遍及印度、中国、新加坡和美国，是一家由全球领先且最具远见的金矿开采公司组成的协会。作为全球黄金市场的权威组织，我们旨在促进和维持黄金需求，打造行业领导力。</w:t>
            </w:r>
          </w:p>
          <w:p w14:paraId="7F053A26" w14:textId="77777777" w:rsidR="00431722" w:rsidRDefault="00431722">
            <w:pPr>
              <w:widowControl w:val="0"/>
              <w:autoSpaceDE w:val="0"/>
              <w:autoSpaceDN w:val="0"/>
              <w:spacing w:before="34" w:line="268" w:lineRule="auto"/>
              <w:ind w:left="200" w:right="157"/>
              <w:rPr>
                <w:rFonts w:ascii="DFPHei Std W7" w:eastAsia="DFPHei Std W7" w:hAnsi="DFPHei Std W7" w:cs="DFPHei Std W7"/>
                <w:lang w:eastAsia="zh-CN" w:bidi="en-GB"/>
              </w:rPr>
            </w:pPr>
          </w:p>
          <w:p w14:paraId="0694C49C" w14:textId="77777777" w:rsidR="00431722" w:rsidRDefault="00802129">
            <w:pPr>
              <w:widowControl w:val="0"/>
              <w:autoSpaceDE w:val="0"/>
              <w:autoSpaceDN w:val="0"/>
              <w:spacing w:before="34" w:line="268" w:lineRule="auto"/>
              <w:ind w:right="157"/>
              <w:rPr>
                <w:rFonts w:ascii="DFPHei Std W7" w:eastAsia="DFPHei Std W7" w:hAnsi="DFPHei Std W7" w:cs="DFPHei Std W7"/>
                <w:lang w:eastAsia="zh-CN" w:bidi="en-GB"/>
              </w:rPr>
            </w:pPr>
            <w:r>
              <w:rPr>
                <w:rFonts w:ascii="DFPHei Std W7" w:eastAsia="DFPHei Std W7" w:hAnsi="DFPHei Std W7" w:cs="DFPHei Std W7" w:hint="eastAsia"/>
                <w:lang w:eastAsia="zh-CN" w:bidi="en-GB"/>
              </w:rPr>
              <w:t>基于权威的市场洞察，我们开发黄金支持解决方案、服务和产品，并携手合作伙伴将我们的</w:t>
            </w:r>
            <w:r>
              <w:rPr>
                <w:rFonts w:ascii="DFPHei Std W7" w:eastAsia="DFPHei Std W7" w:hAnsi="DFPHei Std W7" w:cs="DFPHei Std W7" w:hint="eastAsia"/>
                <w:lang w:eastAsia="zh-CN" w:bidi="en-GB"/>
              </w:rPr>
              <w:lastRenderedPageBreak/>
              <w:t>想法付诸实践。在主要市场领域，我们造就了黄金需求的结构性转变。我们提供有关国际黄金市场的见解分析，帮助人们了解黄金在财富保值方面的价值，及其满足社会与环境需求时所发挥的作用。我们通过研究全球黄金市场，帮助人们更好地理解黄金财富保障的</w:t>
            </w:r>
            <w:r>
              <w:rPr>
                <w:rFonts w:ascii="DFPHei Std W7" w:eastAsia="DFPHei Std W7" w:hAnsi="DFPHei Std W7" w:cs="DFPHei Std W7" w:hint="eastAsia"/>
                <w:lang w:eastAsia="zh-CN" w:bidi="en-GB"/>
              </w:rPr>
              <w:t>特性以及它在满足社会环境需求中的重要角色。</w:t>
            </w:r>
          </w:p>
          <w:p w14:paraId="14475171" w14:textId="77777777" w:rsidR="00431722" w:rsidRDefault="00431722">
            <w:pPr>
              <w:widowControl w:val="0"/>
              <w:autoSpaceDE w:val="0"/>
              <w:autoSpaceDN w:val="0"/>
              <w:spacing w:before="34" w:line="268" w:lineRule="auto"/>
              <w:ind w:left="200" w:right="157"/>
              <w:rPr>
                <w:rFonts w:ascii="DFPHei Std W7" w:eastAsia="DFPHei Std W7" w:hAnsi="DFPHei Std W7" w:cs="DFPHei Std W7"/>
                <w:lang w:eastAsia="zh-CN" w:bidi="en-GB"/>
              </w:rPr>
            </w:pPr>
          </w:p>
        </w:tc>
      </w:tr>
    </w:tbl>
    <w:p w14:paraId="5E858B27" w14:textId="77777777" w:rsidR="00431722" w:rsidRDefault="00431722">
      <w:pPr>
        <w:spacing w:after="200" w:line="400" w:lineRule="exact"/>
        <w:jc w:val="both"/>
        <w:rPr>
          <w:rFonts w:ascii="DFPHei Std W7" w:eastAsia="DFPHei Std W7" w:hAnsi="DFPHei Std W7" w:cs="DFPHei Std W7"/>
          <w:szCs w:val="20"/>
          <w:lang w:eastAsia="zh-CN"/>
        </w:rPr>
      </w:pPr>
    </w:p>
    <w:sectPr w:rsidR="00431722">
      <w:headerReference w:type="default" r:id="rId24"/>
      <w:footerReference w:type="default" r:id="rId25"/>
      <w:headerReference w:type="first" r:id="rId26"/>
      <w:footerReference w:type="first" r:id="rId27"/>
      <w:type w:val="continuous"/>
      <w:pgSz w:w="11906" w:h="16838"/>
      <w:pgMar w:top="1843" w:right="1700" w:bottom="1247" w:left="1814" w:header="567" w:footer="42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D52B" w14:textId="77777777" w:rsidR="00000000" w:rsidRDefault="00802129">
      <w:r>
        <w:separator/>
      </w:r>
    </w:p>
  </w:endnote>
  <w:endnote w:type="continuationSeparator" w:id="0">
    <w:p w14:paraId="535172A7" w14:textId="77777777" w:rsidR="00000000" w:rsidRDefault="0080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pitch w:val="default"/>
    <w:sig w:usb0="00000000"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FPHei Std W7">
    <w:altName w:val="微软雅黑"/>
    <w:charset w:val="86"/>
    <w:family w:val="auto"/>
    <w:pitch w:val="default"/>
    <w:sig w:usb0="A00002AF" w:usb1="38CF7C7A" w:usb2="00000016" w:usb3="00000000" w:csb0="0004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1E8E" w14:textId="77777777" w:rsidR="00431722" w:rsidRDefault="00431722">
    <w:pPr>
      <w:pStyle w:val="Footer"/>
      <w:jc w:val="center"/>
    </w:pPr>
  </w:p>
  <w:p w14:paraId="5081D11A" w14:textId="77777777" w:rsidR="00431722" w:rsidRDefault="00431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15" w:tblpY="151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8494"/>
    </w:tblGrid>
    <w:tr w:rsidR="00431722" w14:paraId="2D00B319" w14:textId="77777777">
      <w:trPr>
        <w:cantSplit/>
        <w:trHeight w:val="1134"/>
      </w:trPr>
      <w:tc>
        <w:tcPr>
          <w:tcW w:w="8494" w:type="dxa"/>
          <w:vAlign w:val="bottom"/>
        </w:tcPr>
        <w:p w14:paraId="546B21E8" w14:textId="77777777" w:rsidR="00431722" w:rsidRDefault="00431722">
          <w:pPr>
            <w:pStyle w:val="Footercover"/>
            <w:rPr>
              <w:color w:val="FF0000"/>
            </w:rPr>
          </w:pPr>
        </w:p>
      </w:tc>
    </w:tr>
  </w:tbl>
  <w:p w14:paraId="0EE39C8D" w14:textId="77777777" w:rsidR="00431722" w:rsidRDefault="00431722">
    <w:pPr>
      <w:pStyle w:val="Footercov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2CC30" w14:textId="77777777" w:rsidR="00000000" w:rsidRDefault="00802129">
      <w:r>
        <w:separator/>
      </w:r>
    </w:p>
  </w:footnote>
  <w:footnote w:type="continuationSeparator" w:id="0">
    <w:p w14:paraId="336A780F" w14:textId="77777777" w:rsidR="00000000" w:rsidRDefault="00802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horzAnchor="page" w:tblpX="988" w:tblpY="1"/>
      <w:tblOverlap w:val="never"/>
      <w:tblW w:w="1985" w:type="dxa"/>
      <w:tblLayout w:type="fixed"/>
      <w:tblCellMar>
        <w:left w:w="0" w:type="dxa"/>
        <w:right w:w="0" w:type="dxa"/>
      </w:tblCellMar>
      <w:tblLook w:val="04A0" w:firstRow="1" w:lastRow="0" w:firstColumn="1" w:lastColumn="0" w:noHBand="0" w:noVBand="1"/>
    </w:tblPr>
    <w:tblGrid>
      <w:gridCol w:w="1985"/>
    </w:tblGrid>
    <w:tr w:rsidR="00431722" w14:paraId="229322FA" w14:textId="77777777">
      <w:trPr>
        <w:cantSplit/>
        <w:trHeight w:val="703"/>
      </w:trPr>
      <w:tc>
        <w:tcPr>
          <w:tcW w:w="1919" w:type="dxa"/>
          <w:tcBorders>
            <w:top w:val="nil"/>
            <w:left w:val="nil"/>
            <w:bottom w:val="nil"/>
            <w:right w:val="nil"/>
          </w:tcBorders>
        </w:tcPr>
        <w:p w14:paraId="3350171B" w14:textId="77777777" w:rsidR="00431722" w:rsidRDefault="00802129">
          <w:pPr>
            <w:pStyle w:val="Header"/>
          </w:pPr>
          <w:r>
            <w:rPr>
              <w:noProof/>
              <w:lang w:val="en-US" w:eastAsia="zh-CN"/>
            </w:rPr>
            <w:drawing>
              <wp:inline distT="0" distB="0" distL="0" distR="0" wp14:anchorId="40A9A216" wp14:editId="46BBF6C4">
                <wp:extent cx="1223645" cy="601980"/>
                <wp:effectExtent l="19050" t="0" r="0" b="0"/>
                <wp:docPr id="6" name="Picture 2" descr="Logo_Chine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ogo_Chinese.emf"/>
                        <pic:cNvPicPr>
                          <a:picLocks noChangeAspect="1"/>
                        </pic:cNvPicPr>
                      </pic:nvPicPr>
                      <pic:blipFill>
                        <a:blip r:embed="rId1"/>
                        <a:stretch>
                          <a:fillRect/>
                        </a:stretch>
                      </pic:blipFill>
                      <pic:spPr>
                        <a:xfrm>
                          <a:off x="0" y="0"/>
                          <a:ext cx="1224000" cy="602438"/>
                        </a:xfrm>
                        <a:prstGeom prst="rect">
                          <a:avLst/>
                        </a:prstGeom>
                      </pic:spPr>
                    </pic:pic>
                  </a:graphicData>
                </a:graphic>
              </wp:inline>
            </w:drawing>
          </w:r>
        </w:p>
      </w:tc>
    </w:tr>
  </w:tbl>
  <w:p w14:paraId="01B1A532" w14:textId="77777777" w:rsidR="00431722" w:rsidRDefault="00431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horzAnchor="page" w:tblpX="988" w:tblpY="1"/>
      <w:tblOverlap w:val="never"/>
      <w:tblW w:w="1985" w:type="dxa"/>
      <w:tblLayout w:type="fixed"/>
      <w:tblCellMar>
        <w:left w:w="0" w:type="dxa"/>
        <w:right w:w="0" w:type="dxa"/>
      </w:tblCellMar>
      <w:tblLook w:val="04A0" w:firstRow="1" w:lastRow="0" w:firstColumn="1" w:lastColumn="0" w:noHBand="0" w:noVBand="1"/>
    </w:tblPr>
    <w:tblGrid>
      <w:gridCol w:w="1985"/>
    </w:tblGrid>
    <w:tr w:rsidR="00431722" w14:paraId="623C65B9" w14:textId="77777777">
      <w:trPr>
        <w:cantSplit/>
        <w:trHeight w:val="703"/>
      </w:trPr>
      <w:tc>
        <w:tcPr>
          <w:tcW w:w="1919" w:type="dxa"/>
          <w:tcBorders>
            <w:top w:val="nil"/>
            <w:left w:val="nil"/>
            <w:bottom w:val="nil"/>
            <w:right w:val="nil"/>
          </w:tcBorders>
        </w:tcPr>
        <w:p w14:paraId="6950F7B9" w14:textId="77777777" w:rsidR="00431722" w:rsidRDefault="00802129">
          <w:pPr>
            <w:pStyle w:val="Header"/>
          </w:pPr>
          <w:r>
            <w:rPr>
              <w:noProof/>
              <w:lang w:val="en-US" w:eastAsia="zh-CN"/>
            </w:rPr>
            <w:drawing>
              <wp:inline distT="0" distB="0" distL="0" distR="0" wp14:anchorId="33F68FB3" wp14:editId="14F39F58">
                <wp:extent cx="1223645" cy="601980"/>
                <wp:effectExtent l="19050" t="0" r="0" b="0"/>
                <wp:docPr id="8" name="Picture 0" descr="Logo_Chine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_Chinese.emf"/>
                        <pic:cNvPicPr>
                          <a:picLocks noChangeAspect="1"/>
                        </pic:cNvPicPr>
                      </pic:nvPicPr>
                      <pic:blipFill>
                        <a:blip r:embed="rId1"/>
                        <a:stretch>
                          <a:fillRect/>
                        </a:stretch>
                      </pic:blipFill>
                      <pic:spPr>
                        <a:xfrm>
                          <a:off x="0" y="0"/>
                          <a:ext cx="1224000" cy="602438"/>
                        </a:xfrm>
                        <a:prstGeom prst="rect">
                          <a:avLst/>
                        </a:prstGeom>
                      </pic:spPr>
                    </pic:pic>
                  </a:graphicData>
                </a:graphic>
              </wp:inline>
            </w:drawing>
          </w:r>
        </w:p>
      </w:tc>
    </w:tr>
  </w:tbl>
  <w:p w14:paraId="42174B2A" w14:textId="77777777" w:rsidR="00431722" w:rsidRDefault="00431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D5B7D"/>
    <w:multiLevelType w:val="multilevel"/>
    <w:tmpl w:val="17CD5B7D"/>
    <w:lvl w:ilvl="0">
      <w:start w:val="1"/>
      <w:numFmt w:val="decimal"/>
      <w:pStyle w:val="Listlevel1"/>
      <w:lvlText w:val="%1"/>
      <w:lvlJc w:val="left"/>
      <w:pPr>
        <w:tabs>
          <w:tab w:val="left" w:pos="425"/>
        </w:tabs>
        <w:ind w:left="425" w:hanging="425"/>
      </w:pPr>
      <w:rPr>
        <w:rFonts w:ascii="Arial Bold" w:hAnsi="Arial Bold" w:hint="default"/>
        <w:b/>
        <w:i w:val="0"/>
        <w:sz w:val="20"/>
      </w:rPr>
    </w:lvl>
    <w:lvl w:ilvl="1">
      <w:start w:val="1"/>
      <w:numFmt w:val="upperLetter"/>
      <w:pStyle w:val="Listlevel2"/>
      <w:lvlText w:val="%2"/>
      <w:lvlJc w:val="left"/>
      <w:pPr>
        <w:tabs>
          <w:tab w:val="left" w:pos="425"/>
        </w:tabs>
        <w:ind w:left="425" w:hanging="425"/>
      </w:pPr>
      <w:rPr>
        <w:rFonts w:ascii="Arial Bold" w:hAnsi="Arial Bold" w:hint="default"/>
        <w:b/>
        <w:i w:val="0"/>
        <w:sz w:val="20"/>
      </w:rPr>
    </w:lvl>
    <w:lvl w:ilvl="2">
      <w:start w:val="1"/>
      <w:numFmt w:val="lowerRoman"/>
      <w:pStyle w:val="Listlevel3"/>
      <w:lvlText w:val="%3"/>
      <w:lvlJc w:val="left"/>
      <w:pPr>
        <w:tabs>
          <w:tab w:val="left" w:pos="425"/>
        </w:tabs>
        <w:ind w:left="425" w:hanging="425"/>
      </w:pPr>
      <w:rPr>
        <w:rFonts w:ascii="Arial Bold" w:hAnsi="Arial Bold" w:hint="default"/>
        <w:b/>
        <w:i w:val="0"/>
        <w:sz w:val="20"/>
      </w:rPr>
    </w:lvl>
    <w:lvl w:ilvl="3">
      <w:start w:val="1"/>
      <w:numFmt w:val="lowerLetter"/>
      <w:pStyle w:val="Listlevel4"/>
      <w:lvlText w:val="%4"/>
      <w:lvlJc w:val="left"/>
      <w:pPr>
        <w:tabs>
          <w:tab w:val="left" w:pos="425"/>
        </w:tabs>
        <w:ind w:left="425" w:hanging="425"/>
      </w:pPr>
      <w:rPr>
        <w:rFonts w:ascii="Arial Bold" w:hAnsi="Arial Bold" w:hint="default"/>
        <w:b/>
        <w:i w:val="0"/>
        <w:sz w:val="20"/>
      </w:rPr>
    </w:lvl>
    <w:lvl w:ilvl="4">
      <w:start w:val="1"/>
      <w:numFmt w:val="decimal"/>
      <w:lvlText w:val="%5"/>
      <w:lvlJc w:val="left"/>
      <w:pPr>
        <w:tabs>
          <w:tab w:val="left" w:pos="425"/>
        </w:tabs>
        <w:ind w:left="425" w:hanging="425"/>
      </w:pPr>
      <w:rPr>
        <w:rFonts w:hint="default"/>
        <w:b/>
        <w:i w:val="0"/>
      </w:rPr>
    </w:lvl>
    <w:lvl w:ilvl="5">
      <w:start w:val="1"/>
      <w:numFmt w:val="upperLetter"/>
      <w:lvlText w:val="%6"/>
      <w:lvlJc w:val="left"/>
      <w:pPr>
        <w:tabs>
          <w:tab w:val="left" w:pos="425"/>
        </w:tabs>
        <w:ind w:left="425" w:hanging="425"/>
      </w:pPr>
      <w:rPr>
        <w:rFonts w:hint="default"/>
        <w:b/>
        <w:i w:val="0"/>
      </w:rPr>
    </w:lvl>
    <w:lvl w:ilvl="6">
      <w:start w:val="1"/>
      <w:numFmt w:val="lowerRoman"/>
      <w:lvlText w:val="%7"/>
      <w:lvlJc w:val="left"/>
      <w:pPr>
        <w:tabs>
          <w:tab w:val="left" w:pos="425"/>
        </w:tabs>
        <w:ind w:left="425" w:hanging="425"/>
      </w:pPr>
      <w:rPr>
        <w:rFonts w:hint="default"/>
        <w:b/>
        <w:i w:val="0"/>
      </w:rPr>
    </w:lvl>
    <w:lvl w:ilvl="7">
      <w:start w:val="1"/>
      <w:numFmt w:val="lowerLetter"/>
      <w:lvlText w:val="%8"/>
      <w:lvlJc w:val="left"/>
      <w:pPr>
        <w:tabs>
          <w:tab w:val="left" w:pos="425"/>
        </w:tabs>
        <w:ind w:left="425" w:hanging="425"/>
      </w:pPr>
      <w:rPr>
        <w:rFonts w:hint="default"/>
        <w:b/>
        <w:i w:val="0"/>
      </w:rPr>
    </w:lvl>
    <w:lvl w:ilvl="8">
      <w:start w:val="1"/>
      <w:numFmt w:val="decimal"/>
      <w:lvlText w:val="%9"/>
      <w:lvlJc w:val="left"/>
      <w:pPr>
        <w:tabs>
          <w:tab w:val="left" w:pos="425"/>
        </w:tabs>
        <w:ind w:left="425" w:hanging="425"/>
      </w:pPr>
      <w:rPr>
        <w:rFonts w:hint="default"/>
        <w:b/>
        <w:i w:val="0"/>
      </w:rPr>
    </w:lvl>
  </w:abstractNum>
  <w:abstractNum w:abstractNumId="1" w15:restartNumberingAfterBreak="0">
    <w:nsid w:val="1A393DEA"/>
    <w:multiLevelType w:val="multilevel"/>
    <w:tmpl w:val="1A393DEA"/>
    <w:lvl w:ilvl="0">
      <w:start w:val="1"/>
      <w:numFmt w:val="bullet"/>
      <w:pStyle w:val="Bullet1"/>
      <w:lvlText w:val=""/>
      <w:lvlJc w:val="left"/>
      <w:pPr>
        <w:tabs>
          <w:tab w:val="left" w:pos="425"/>
        </w:tabs>
        <w:ind w:left="425" w:hanging="425"/>
      </w:pPr>
      <w:rPr>
        <w:rFonts w:ascii="Symbol" w:hAnsi="Symbol" w:hint="default"/>
        <w:sz w:val="20"/>
      </w:rPr>
    </w:lvl>
    <w:lvl w:ilvl="1">
      <w:start w:val="1"/>
      <w:numFmt w:val="bullet"/>
      <w:pStyle w:val="Dash1"/>
      <w:lvlText w:val=""/>
      <w:lvlJc w:val="left"/>
      <w:pPr>
        <w:tabs>
          <w:tab w:val="left" w:pos="850"/>
        </w:tabs>
        <w:ind w:left="850" w:hanging="425"/>
      </w:pPr>
      <w:rPr>
        <w:rFonts w:ascii="Symbol" w:hAnsi="Symbol" w:hint="default"/>
        <w:sz w:val="20"/>
      </w:rPr>
    </w:lvl>
    <w:lvl w:ilvl="2">
      <w:start w:val="1"/>
      <w:numFmt w:val="bullet"/>
      <w:pStyle w:val="Bullet2"/>
      <w:lvlText w:val=""/>
      <w:lvlJc w:val="left"/>
      <w:pPr>
        <w:tabs>
          <w:tab w:val="left" w:pos="1275"/>
        </w:tabs>
        <w:ind w:left="851" w:hanging="426"/>
      </w:pPr>
      <w:rPr>
        <w:rFonts w:ascii="Symbol" w:hAnsi="Symbol" w:hint="default"/>
      </w:rPr>
    </w:lvl>
    <w:lvl w:ilvl="3">
      <w:start w:val="1"/>
      <w:numFmt w:val="bullet"/>
      <w:pStyle w:val="Dash2"/>
      <w:lvlText w:val=""/>
      <w:lvlJc w:val="left"/>
      <w:pPr>
        <w:tabs>
          <w:tab w:val="left" w:pos="1276"/>
        </w:tabs>
        <w:ind w:left="1276" w:hanging="425"/>
      </w:pPr>
      <w:rPr>
        <w:rFonts w:ascii="Symbol" w:hAnsi="Symbol" w:hint="default"/>
      </w:rPr>
    </w:lvl>
    <w:lvl w:ilvl="4">
      <w:start w:val="1"/>
      <w:numFmt w:val="bullet"/>
      <w:lvlText w:val=""/>
      <w:lvlJc w:val="left"/>
      <w:pPr>
        <w:tabs>
          <w:tab w:val="left" w:pos="1701"/>
        </w:tabs>
        <w:ind w:left="1701" w:hanging="425"/>
      </w:pPr>
      <w:rPr>
        <w:rFonts w:ascii="Symbol" w:hAnsi="Symbol" w:hint="default"/>
      </w:rPr>
    </w:lvl>
    <w:lvl w:ilvl="5">
      <w:start w:val="1"/>
      <w:numFmt w:val="bullet"/>
      <w:lvlText w:val=""/>
      <w:lvlJc w:val="left"/>
      <w:pPr>
        <w:tabs>
          <w:tab w:val="left" w:pos="2126"/>
        </w:tabs>
        <w:ind w:left="2126" w:hanging="425"/>
      </w:pPr>
      <w:rPr>
        <w:rFonts w:ascii="Symbol" w:hAnsi="Symbol" w:hint="default"/>
      </w:rPr>
    </w:lvl>
    <w:lvl w:ilvl="6">
      <w:start w:val="1"/>
      <w:numFmt w:val="bullet"/>
      <w:lvlText w:val=""/>
      <w:lvlJc w:val="left"/>
      <w:pPr>
        <w:tabs>
          <w:tab w:val="left" w:pos="2552"/>
        </w:tabs>
        <w:ind w:left="2552" w:hanging="426"/>
      </w:pPr>
      <w:rPr>
        <w:rFonts w:ascii="Symbol" w:hAnsi="Symbol" w:hint="default"/>
      </w:rPr>
    </w:lvl>
    <w:lvl w:ilvl="7">
      <w:start w:val="1"/>
      <w:numFmt w:val="bullet"/>
      <w:lvlText w:val=""/>
      <w:lvlJc w:val="left"/>
      <w:pPr>
        <w:tabs>
          <w:tab w:val="left" w:pos="2977"/>
        </w:tabs>
        <w:ind w:left="2977" w:hanging="425"/>
      </w:pPr>
      <w:rPr>
        <w:rFonts w:ascii="Symbol" w:hAnsi="Symbol" w:hint="default"/>
      </w:rPr>
    </w:lvl>
    <w:lvl w:ilvl="8">
      <w:start w:val="1"/>
      <w:numFmt w:val="bullet"/>
      <w:lvlText w:val=""/>
      <w:lvlJc w:val="left"/>
      <w:pPr>
        <w:tabs>
          <w:tab w:val="left" w:pos="3402"/>
        </w:tabs>
        <w:ind w:left="3402" w:hanging="425"/>
      </w:pPr>
      <w:rPr>
        <w:rFonts w:ascii="Symbol" w:hAnsi="Symbol" w:hint="default"/>
      </w:rPr>
    </w:lvl>
  </w:abstractNum>
  <w:abstractNum w:abstractNumId="2" w15:restartNumberingAfterBreak="0">
    <w:nsid w:val="4822713C"/>
    <w:multiLevelType w:val="multilevel"/>
    <w:tmpl w:val="4822713C"/>
    <w:lvl w:ilvl="0">
      <w:start w:val="1"/>
      <w:numFmt w:val="none"/>
      <w:suff w:val="nothing"/>
      <w:lvlText w:val="%1"/>
      <w:lvlJc w:val="left"/>
      <w:pPr>
        <w:ind w:left="0" w:firstLine="0"/>
      </w:pPr>
      <w:rPr>
        <w:rFonts w:ascii="Arial" w:hAnsi="Arial" w:hint="default"/>
        <w:sz w:val="20"/>
      </w:rPr>
    </w:lvl>
    <w:lvl w:ilvl="1">
      <w:start w:val="1"/>
      <w:numFmt w:val="none"/>
      <w:pStyle w:val="Bodytextlevel1"/>
      <w:lvlText w:val=""/>
      <w:lvlJc w:val="left"/>
      <w:pPr>
        <w:tabs>
          <w:tab w:val="left" w:pos="425"/>
        </w:tabs>
        <w:ind w:left="425" w:firstLine="0"/>
      </w:pPr>
      <w:rPr>
        <w:rFonts w:hint="default"/>
      </w:rPr>
    </w:lvl>
    <w:lvl w:ilvl="2">
      <w:start w:val="1"/>
      <w:numFmt w:val="none"/>
      <w:pStyle w:val="Bodytextlevel2"/>
      <w:lvlText w:val=""/>
      <w:lvlJc w:val="left"/>
      <w:pPr>
        <w:tabs>
          <w:tab w:val="left" w:pos="850"/>
        </w:tabs>
        <w:ind w:left="850" w:firstLine="0"/>
      </w:pPr>
      <w:rPr>
        <w:rFonts w:hint="default"/>
      </w:rPr>
    </w:lvl>
    <w:lvl w:ilvl="3">
      <w:start w:val="1"/>
      <w:numFmt w:val="none"/>
      <w:pStyle w:val="Bodytextlevel3"/>
      <w:suff w:val="nothing"/>
      <w:lvlText w:val=""/>
      <w:lvlJc w:val="left"/>
      <w:pPr>
        <w:ind w:left="1276" w:firstLine="0"/>
      </w:pPr>
      <w:rPr>
        <w:rFonts w:hint="default"/>
      </w:rPr>
    </w:lvl>
    <w:lvl w:ilvl="4">
      <w:start w:val="1"/>
      <w:numFmt w:val="none"/>
      <w:lvlText w:val=""/>
      <w:lvlJc w:val="left"/>
      <w:pPr>
        <w:tabs>
          <w:tab w:val="left" w:pos="1700"/>
        </w:tabs>
        <w:ind w:left="1700" w:firstLine="0"/>
      </w:pPr>
      <w:rPr>
        <w:rFonts w:hint="default"/>
      </w:rPr>
    </w:lvl>
    <w:lvl w:ilvl="5">
      <w:start w:val="1"/>
      <w:numFmt w:val="none"/>
      <w:lvlText w:val=""/>
      <w:lvlJc w:val="left"/>
      <w:pPr>
        <w:tabs>
          <w:tab w:val="left" w:pos="2125"/>
        </w:tabs>
        <w:ind w:left="2125" w:firstLine="0"/>
      </w:pPr>
      <w:rPr>
        <w:rFonts w:hint="default"/>
      </w:rPr>
    </w:lvl>
    <w:lvl w:ilvl="6">
      <w:start w:val="1"/>
      <w:numFmt w:val="none"/>
      <w:lvlText w:val=""/>
      <w:lvlJc w:val="left"/>
      <w:pPr>
        <w:tabs>
          <w:tab w:val="left" w:pos="2550"/>
        </w:tabs>
        <w:ind w:left="2550" w:firstLine="0"/>
      </w:pPr>
      <w:rPr>
        <w:rFonts w:hint="default"/>
      </w:rPr>
    </w:lvl>
    <w:lvl w:ilvl="7">
      <w:start w:val="1"/>
      <w:numFmt w:val="none"/>
      <w:lvlText w:val=""/>
      <w:lvlJc w:val="left"/>
      <w:pPr>
        <w:tabs>
          <w:tab w:val="left" w:pos="2975"/>
        </w:tabs>
        <w:ind w:left="2975" w:firstLine="0"/>
      </w:pPr>
      <w:rPr>
        <w:rFonts w:hint="default"/>
      </w:rPr>
    </w:lvl>
    <w:lvl w:ilvl="8">
      <w:start w:val="1"/>
      <w:numFmt w:val="none"/>
      <w:lvlText w:val=""/>
      <w:lvlJc w:val="left"/>
      <w:pPr>
        <w:tabs>
          <w:tab w:val="left" w:pos="3400"/>
        </w:tabs>
        <w:ind w:left="3400" w:firstLine="0"/>
      </w:pPr>
      <w:rPr>
        <w:rFonts w:hint="default"/>
      </w:rPr>
    </w:lvl>
  </w:abstractNum>
  <w:abstractNum w:abstractNumId="3" w15:restartNumberingAfterBreak="0">
    <w:nsid w:val="612F0A36"/>
    <w:multiLevelType w:val="multilevel"/>
    <w:tmpl w:val="612F0A36"/>
    <w:lvl w:ilvl="0">
      <w:start w:val="1"/>
      <w:numFmt w:val="decimal"/>
      <w:pStyle w:val="Listlevel1unbold"/>
      <w:lvlText w:val="%1"/>
      <w:lvlJc w:val="left"/>
      <w:pPr>
        <w:tabs>
          <w:tab w:val="left" w:pos="425"/>
        </w:tabs>
        <w:ind w:left="425" w:hanging="425"/>
      </w:pPr>
      <w:rPr>
        <w:rFonts w:ascii="Arial" w:hAnsi="Arial" w:hint="default"/>
        <w:sz w:val="20"/>
      </w:rPr>
    </w:lvl>
    <w:lvl w:ilvl="1">
      <w:start w:val="1"/>
      <w:numFmt w:val="upperLetter"/>
      <w:pStyle w:val="Listlevel2unbold"/>
      <w:lvlText w:val="%2"/>
      <w:lvlJc w:val="left"/>
      <w:pPr>
        <w:tabs>
          <w:tab w:val="left" w:pos="425"/>
        </w:tabs>
        <w:ind w:left="425" w:hanging="425"/>
      </w:pPr>
      <w:rPr>
        <w:rFonts w:ascii="Arial" w:hAnsi="Arial" w:hint="default"/>
        <w:b w:val="0"/>
        <w:i w:val="0"/>
        <w:sz w:val="20"/>
      </w:rPr>
    </w:lvl>
    <w:lvl w:ilvl="2">
      <w:start w:val="1"/>
      <w:numFmt w:val="lowerRoman"/>
      <w:pStyle w:val="Listlevel3unbold"/>
      <w:lvlText w:val="%3"/>
      <w:lvlJc w:val="left"/>
      <w:pPr>
        <w:tabs>
          <w:tab w:val="left" w:pos="425"/>
        </w:tabs>
        <w:ind w:left="425" w:hanging="425"/>
      </w:pPr>
      <w:rPr>
        <w:rFonts w:ascii="Arial" w:hAnsi="Arial" w:hint="default"/>
        <w:b w:val="0"/>
        <w:i w:val="0"/>
        <w:sz w:val="20"/>
      </w:rPr>
    </w:lvl>
    <w:lvl w:ilvl="3">
      <w:start w:val="1"/>
      <w:numFmt w:val="lowerLetter"/>
      <w:pStyle w:val="Listlevel4unbold"/>
      <w:lvlText w:val="%4"/>
      <w:lvlJc w:val="left"/>
      <w:pPr>
        <w:tabs>
          <w:tab w:val="left" w:pos="425"/>
        </w:tabs>
        <w:ind w:left="425" w:hanging="425"/>
      </w:pPr>
      <w:rPr>
        <w:rFonts w:ascii="Arial" w:hAnsi="Arial" w:hint="default"/>
        <w:b w:val="0"/>
        <w:i w:val="0"/>
        <w:sz w:val="20"/>
      </w:rPr>
    </w:lvl>
    <w:lvl w:ilvl="4">
      <w:start w:val="1"/>
      <w:numFmt w:val="decimal"/>
      <w:lvlText w:val="%5"/>
      <w:lvlJc w:val="left"/>
      <w:pPr>
        <w:tabs>
          <w:tab w:val="left" w:pos="425"/>
        </w:tabs>
        <w:ind w:left="425" w:hanging="425"/>
      </w:pPr>
      <w:rPr>
        <w:rFonts w:hint="default"/>
      </w:rPr>
    </w:lvl>
    <w:lvl w:ilvl="5">
      <w:start w:val="1"/>
      <w:numFmt w:val="upperLetter"/>
      <w:lvlText w:val="%6"/>
      <w:lvlJc w:val="left"/>
      <w:pPr>
        <w:tabs>
          <w:tab w:val="left" w:pos="425"/>
        </w:tabs>
        <w:ind w:left="425" w:hanging="425"/>
      </w:pPr>
      <w:rPr>
        <w:rFonts w:hint="default"/>
      </w:rPr>
    </w:lvl>
    <w:lvl w:ilvl="6">
      <w:start w:val="1"/>
      <w:numFmt w:val="lowerRoman"/>
      <w:lvlText w:val="%7"/>
      <w:lvlJc w:val="left"/>
      <w:pPr>
        <w:tabs>
          <w:tab w:val="left" w:pos="425"/>
        </w:tabs>
        <w:ind w:left="425" w:hanging="425"/>
      </w:pPr>
      <w:rPr>
        <w:rFonts w:hint="default"/>
      </w:rPr>
    </w:lvl>
    <w:lvl w:ilvl="7">
      <w:start w:val="1"/>
      <w:numFmt w:val="lowerLetter"/>
      <w:lvlText w:val="%8"/>
      <w:lvlJc w:val="left"/>
      <w:pPr>
        <w:tabs>
          <w:tab w:val="left" w:pos="425"/>
        </w:tabs>
        <w:ind w:left="425" w:hanging="425"/>
      </w:pPr>
      <w:rPr>
        <w:rFonts w:hint="default"/>
      </w:rPr>
    </w:lvl>
    <w:lvl w:ilvl="8">
      <w:start w:val="1"/>
      <w:numFmt w:val="decimal"/>
      <w:lvlText w:val="%9"/>
      <w:lvlJc w:val="left"/>
      <w:pPr>
        <w:tabs>
          <w:tab w:val="left" w:pos="425"/>
        </w:tabs>
        <w:ind w:left="425" w:hanging="425"/>
      </w:pPr>
      <w:rPr>
        <w:rFonts w:hint="default"/>
      </w:rPr>
    </w:lvl>
  </w:abstractNum>
  <w:num w:numId="1" w16cid:durableId="783577360">
    <w:abstractNumId w:val="2"/>
  </w:num>
  <w:num w:numId="2" w16cid:durableId="381681885">
    <w:abstractNumId w:val="1"/>
  </w:num>
  <w:num w:numId="3" w16cid:durableId="552084452">
    <w:abstractNumId w:val="0"/>
  </w:num>
  <w:num w:numId="4" w16cid:durableId="1790277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attachedTemplate r:id="rId1"/>
  <w:documentProtection w:edit="forms" w:enforcement="0"/>
  <w:defaultTabStop w:val="425"/>
  <w:drawingGridHorizontalSpacing w:val="100"/>
  <w:noPunctuationKerning/>
  <w:characterSpacingControl w:val="doNotCompress"/>
  <w:hdrShapeDefaults>
    <o:shapedefaults v:ext="edit" spidmax="3073"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xOTVhZjQ2ZTdlYWI2M2Q4Y2JmMWQ2NDJkMGU2MTMifQ=="/>
    <w:docVar w:name="MS_Client" w:val="World Gold Council"/>
    <w:docVar w:name="MS_MediaSterling" w:val="True"/>
    <w:docVar w:name="MS_TemplateCountry" w:val="2"/>
    <w:docVar w:name="MS_TemplateLogo" w:val="1"/>
    <w:docVar w:name="MS_TemplateType" w:val="10"/>
  </w:docVars>
  <w:rsids>
    <w:rsidRoot w:val="00CE4C72"/>
    <w:rsid w:val="0000702A"/>
    <w:rsid w:val="00010518"/>
    <w:rsid w:val="00010810"/>
    <w:rsid w:val="00012325"/>
    <w:rsid w:val="00013B2A"/>
    <w:rsid w:val="000146FB"/>
    <w:rsid w:val="00015CFE"/>
    <w:rsid w:val="00020505"/>
    <w:rsid w:val="000270B8"/>
    <w:rsid w:val="00027E26"/>
    <w:rsid w:val="000304DF"/>
    <w:rsid w:val="00031A77"/>
    <w:rsid w:val="00050529"/>
    <w:rsid w:val="00050873"/>
    <w:rsid w:val="0005460A"/>
    <w:rsid w:val="000565E9"/>
    <w:rsid w:val="000664E6"/>
    <w:rsid w:val="00070F3A"/>
    <w:rsid w:val="0007216A"/>
    <w:rsid w:val="00072A8A"/>
    <w:rsid w:val="0007342D"/>
    <w:rsid w:val="00081E8D"/>
    <w:rsid w:val="00082787"/>
    <w:rsid w:val="000837E2"/>
    <w:rsid w:val="000912AC"/>
    <w:rsid w:val="00092986"/>
    <w:rsid w:val="00093C62"/>
    <w:rsid w:val="00095C21"/>
    <w:rsid w:val="000A4182"/>
    <w:rsid w:val="000A4D43"/>
    <w:rsid w:val="000B0293"/>
    <w:rsid w:val="000B2C2C"/>
    <w:rsid w:val="000B7D3C"/>
    <w:rsid w:val="000C01AD"/>
    <w:rsid w:val="000C1CCE"/>
    <w:rsid w:val="000C21B8"/>
    <w:rsid w:val="000C2A52"/>
    <w:rsid w:val="000C4D24"/>
    <w:rsid w:val="000D0119"/>
    <w:rsid w:val="000D16AC"/>
    <w:rsid w:val="000D439B"/>
    <w:rsid w:val="000D52E6"/>
    <w:rsid w:val="000E12D4"/>
    <w:rsid w:val="000E33C6"/>
    <w:rsid w:val="000E4137"/>
    <w:rsid w:val="000E6E7A"/>
    <w:rsid w:val="000F024D"/>
    <w:rsid w:val="000F32C8"/>
    <w:rsid w:val="000F65F5"/>
    <w:rsid w:val="00100245"/>
    <w:rsid w:val="00104AAA"/>
    <w:rsid w:val="00107387"/>
    <w:rsid w:val="001115B4"/>
    <w:rsid w:val="00112539"/>
    <w:rsid w:val="00113175"/>
    <w:rsid w:val="00117297"/>
    <w:rsid w:val="0012074F"/>
    <w:rsid w:val="00120CAA"/>
    <w:rsid w:val="001236FD"/>
    <w:rsid w:val="00124288"/>
    <w:rsid w:val="001262FB"/>
    <w:rsid w:val="001264BC"/>
    <w:rsid w:val="00130CD6"/>
    <w:rsid w:val="00131F96"/>
    <w:rsid w:val="0013228A"/>
    <w:rsid w:val="00133A2E"/>
    <w:rsid w:val="001363D5"/>
    <w:rsid w:val="00140232"/>
    <w:rsid w:val="00145A0D"/>
    <w:rsid w:val="00145D03"/>
    <w:rsid w:val="001503F4"/>
    <w:rsid w:val="00151C9C"/>
    <w:rsid w:val="0015305E"/>
    <w:rsid w:val="00154A33"/>
    <w:rsid w:val="00162E9A"/>
    <w:rsid w:val="00163110"/>
    <w:rsid w:val="00172F92"/>
    <w:rsid w:val="00173C62"/>
    <w:rsid w:val="001752C8"/>
    <w:rsid w:val="001830B0"/>
    <w:rsid w:val="001854BD"/>
    <w:rsid w:val="00186414"/>
    <w:rsid w:val="00190451"/>
    <w:rsid w:val="0019096C"/>
    <w:rsid w:val="001953B0"/>
    <w:rsid w:val="00195672"/>
    <w:rsid w:val="001A0611"/>
    <w:rsid w:val="001A31AA"/>
    <w:rsid w:val="001A601C"/>
    <w:rsid w:val="001A696B"/>
    <w:rsid w:val="001B0D6B"/>
    <w:rsid w:val="001B162E"/>
    <w:rsid w:val="001B2A1C"/>
    <w:rsid w:val="001C1520"/>
    <w:rsid w:val="001D506D"/>
    <w:rsid w:val="001D582F"/>
    <w:rsid w:val="001D5B81"/>
    <w:rsid w:val="001E1051"/>
    <w:rsid w:val="001E2C35"/>
    <w:rsid w:val="001F2769"/>
    <w:rsid w:val="001F2774"/>
    <w:rsid w:val="001F5177"/>
    <w:rsid w:val="002018D1"/>
    <w:rsid w:val="00202E3D"/>
    <w:rsid w:val="002059B7"/>
    <w:rsid w:val="0020738C"/>
    <w:rsid w:val="00214112"/>
    <w:rsid w:val="002213F1"/>
    <w:rsid w:val="00222A51"/>
    <w:rsid w:val="00227B67"/>
    <w:rsid w:val="00230392"/>
    <w:rsid w:val="002349CE"/>
    <w:rsid w:val="00246329"/>
    <w:rsid w:val="002502D5"/>
    <w:rsid w:val="00256526"/>
    <w:rsid w:val="00256D93"/>
    <w:rsid w:val="00264116"/>
    <w:rsid w:val="0026610E"/>
    <w:rsid w:val="00276308"/>
    <w:rsid w:val="00276A66"/>
    <w:rsid w:val="00280444"/>
    <w:rsid w:val="00283540"/>
    <w:rsid w:val="00290E20"/>
    <w:rsid w:val="00293B01"/>
    <w:rsid w:val="002A4A0B"/>
    <w:rsid w:val="002B047A"/>
    <w:rsid w:val="002B260C"/>
    <w:rsid w:val="002B4454"/>
    <w:rsid w:val="002B607F"/>
    <w:rsid w:val="002B7ED7"/>
    <w:rsid w:val="002C1E54"/>
    <w:rsid w:val="002C6885"/>
    <w:rsid w:val="002C72C0"/>
    <w:rsid w:val="002C75DE"/>
    <w:rsid w:val="002D2DB3"/>
    <w:rsid w:val="002D5E3E"/>
    <w:rsid w:val="002D7CEB"/>
    <w:rsid w:val="002E2B7C"/>
    <w:rsid w:val="002E3796"/>
    <w:rsid w:val="002E3CDB"/>
    <w:rsid w:val="002F481F"/>
    <w:rsid w:val="002F5182"/>
    <w:rsid w:val="002F6078"/>
    <w:rsid w:val="00300A52"/>
    <w:rsid w:val="00301FE3"/>
    <w:rsid w:val="003033EA"/>
    <w:rsid w:val="0030707D"/>
    <w:rsid w:val="00310FDA"/>
    <w:rsid w:val="00316953"/>
    <w:rsid w:val="003227A8"/>
    <w:rsid w:val="00332150"/>
    <w:rsid w:val="00333106"/>
    <w:rsid w:val="003363FB"/>
    <w:rsid w:val="00342A6B"/>
    <w:rsid w:val="00345122"/>
    <w:rsid w:val="00352AB8"/>
    <w:rsid w:val="00354C77"/>
    <w:rsid w:val="003616E2"/>
    <w:rsid w:val="00362D93"/>
    <w:rsid w:val="003754CD"/>
    <w:rsid w:val="00384337"/>
    <w:rsid w:val="003A0FA0"/>
    <w:rsid w:val="003A67F4"/>
    <w:rsid w:val="003B0632"/>
    <w:rsid w:val="003C1BBF"/>
    <w:rsid w:val="003C617B"/>
    <w:rsid w:val="003D3190"/>
    <w:rsid w:val="003D4739"/>
    <w:rsid w:val="003D6BDE"/>
    <w:rsid w:val="003E29EB"/>
    <w:rsid w:val="003E5E4D"/>
    <w:rsid w:val="003F0E7D"/>
    <w:rsid w:val="003F11E0"/>
    <w:rsid w:val="003F1FB2"/>
    <w:rsid w:val="003F295A"/>
    <w:rsid w:val="003F538C"/>
    <w:rsid w:val="003F5BD0"/>
    <w:rsid w:val="00403947"/>
    <w:rsid w:val="00403C63"/>
    <w:rsid w:val="0040570C"/>
    <w:rsid w:val="00410338"/>
    <w:rsid w:val="0041428F"/>
    <w:rsid w:val="004145BD"/>
    <w:rsid w:val="0041588A"/>
    <w:rsid w:val="00420010"/>
    <w:rsid w:val="004222B0"/>
    <w:rsid w:val="00424DEB"/>
    <w:rsid w:val="00426404"/>
    <w:rsid w:val="00431722"/>
    <w:rsid w:val="0043473A"/>
    <w:rsid w:val="00443EF9"/>
    <w:rsid w:val="00445CA3"/>
    <w:rsid w:val="00454778"/>
    <w:rsid w:val="00456D45"/>
    <w:rsid w:val="00461837"/>
    <w:rsid w:val="004658B6"/>
    <w:rsid w:val="004719EF"/>
    <w:rsid w:val="00471B8E"/>
    <w:rsid w:val="00473817"/>
    <w:rsid w:val="00473F8A"/>
    <w:rsid w:val="00476A2F"/>
    <w:rsid w:val="00480E5A"/>
    <w:rsid w:val="00481CFE"/>
    <w:rsid w:val="00484D78"/>
    <w:rsid w:val="00491FD1"/>
    <w:rsid w:val="00497C0C"/>
    <w:rsid w:val="004A0066"/>
    <w:rsid w:val="004A0FFB"/>
    <w:rsid w:val="004A7752"/>
    <w:rsid w:val="004B4597"/>
    <w:rsid w:val="004B4708"/>
    <w:rsid w:val="004B5053"/>
    <w:rsid w:val="004B6CB9"/>
    <w:rsid w:val="004C0C97"/>
    <w:rsid w:val="004C4657"/>
    <w:rsid w:val="004C6746"/>
    <w:rsid w:val="004D213A"/>
    <w:rsid w:val="004D3BE8"/>
    <w:rsid w:val="004D441E"/>
    <w:rsid w:val="004D53BC"/>
    <w:rsid w:val="004D6289"/>
    <w:rsid w:val="004D6C42"/>
    <w:rsid w:val="004E23CA"/>
    <w:rsid w:val="004E4022"/>
    <w:rsid w:val="004E438B"/>
    <w:rsid w:val="004E4634"/>
    <w:rsid w:val="004E53DF"/>
    <w:rsid w:val="004F2F91"/>
    <w:rsid w:val="004F630A"/>
    <w:rsid w:val="00500410"/>
    <w:rsid w:val="00501B2D"/>
    <w:rsid w:val="005037D2"/>
    <w:rsid w:val="00503DA4"/>
    <w:rsid w:val="00510185"/>
    <w:rsid w:val="00513F19"/>
    <w:rsid w:val="00514FB8"/>
    <w:rsid w:val="00515125"/>
    <w:rsid w:val="00516652"/>
    <w:rsid w:val="0052112A"/>
    <w:rsid w:val="00522CD4"/>
    <w:rsid w:val="00527B59"/>
    <w:rsid w:val="00533CF8"/>
    <w:rsid w:val="00534E57"/>
    <w:rsid w:val="00536A00"/>
    <w:rsid w:val="0054009E"/>
    <w:rsid w:val="00543AE0"/>
    <w:rsid w:val="0055025C"/>
    <w:rsid w:val="00550AB2"/>
    <w:rsid w:val="00557CCA"/>
    <w:rsid w:val="00560673"/>
    <w:rsid w:val="0056195F"/>
    <w:rsid w:val="00561EB5"/>
    <w:rsid w:val="00563A57"/>
    <w:rsid w:val="005666D9"/>
    <w:rsid w:val="00567D28"/>
    <w:rsid w:val="005715C4"/>
    <w:rsid w:val="005760FF"/>
    <w:rsid w:val="00582085"/>
    <w:rsid w:val="005828B8"/>
    <w:rsid w:val="00590882"/>
    <w:rsid w:val="0059099D"/>
    <w:rsid w:val="005A0503"/>
    <w:rsid w:val="005B039B"/>
    <w:rsid w:val="005B0B6B"/>
    <w:rsid w:val="005B7274"/>
    <w:rsid w:val="005C04F5"/>
    <w:rsid w:val="005C0C59"/>
    <w:rsid w:val="005C537C"/>
    <w:rsid w:val="005C5CF3"/>
    <w:rsid w:val="005D08F9"/>
    <w:rsid w:val="005D0FF0"/>
    <w:rsid w:val="005D44DD"/>
    <w:rsid w:val="005D6C5E"/>
    <w:rsid w:val="005E7F2C"/>
    <w:rsid w:val="005F0781"/>
    <w:rsid w:val="005F2D19"/>
    <w:rsid w:val="005F760F"/>
    <w:rsid w:val="00601C75"/>
    <w:rsid w:val="0060223D"/>
    <w:rsid w:val="00602378"/>
    <w:rsid w:val="006104A2"/>
    <w:rsid w:val="006113CA"/>
    <w:rsid w:val="00612F82"/>
    <w:rsid w:val="006266F1"/>
    <w:rsid w:val="00641C98"/>
    <w:rsid w:val="00645A57"/>
    <w:rsid w:val="006461D0"/>
    <w:rsid w:val="00646F8B"/>
    <w:rsid w:val="00647D2F"/>
    <w:rsid w:val="00653DA3"/>
    <w:rsid w:val="00654D94"/>
    <w:rsid w:val="006574B0"/>
    <w:rsid w:val="00657897"/>
    <w:rsid w:val="00657BDA"/>
    <w:rsid w:val="006613D0"/>
    <w:rsid w:val="00670B40"/>
    <w:rsid w:val="00676D71"/>
    <w:rsid w:val="00685075"/>
    <w:rsid w:val="00686021"/>
    <w:rsid w:val="00686AE6"/>
    <w:rsid w:val="006871FF"/>
    <w:rsid w:val="00690848"/>
    <w:rsid w:val="00690C0E"/>
    <w:rsid w:val="00691AB5"/>
    <w:rsid w:val="006A1088"/>
    <w:rsid w:val="006A5231"/>
    <w:rsid w:val="006B15CC"/>
    <w:rsid w:val="006B2998"/>
    <w:rsid w:val="006C0223"/>
    <w:rsid w:val="006C04CA"/>
    <w:rsid w:val="006C1738"/>
    <w:rsid w:val="006C344F"/>
    <w:rsid w:val="006D130B"/>
    <w:rsid w:val="006D2633"/>
    <w:rsid w:val="006E032B"/>
    <w:rsid w:val="006E6D1B"/>
    <w:rsid w:val="006F0C48"/>
    <w:rsid w:val="006F206B"/>
    <w:rsid w:val="006F2B7F"/>
    <w:rsid w:val="006F4FF7"/>
    <w:rsid w:val="006F5F71"/>
    <w:rsid w:val="007206F7"/>
    <w:rsid w:val="00724352"/>
    <w:rsid w:val="00730034"/>
    <w:rsid w:val="0073196D"/>
    <w:rsid w:val="00732E0F"/>
    <w:rsid w:val="00740341"/>
    <w:rsid w:val="00741120"/>
    <w:rsid w:val="00741751"/>
    <w:rsid w:val="007508B2"/>
    <w:rsid w:val="00751DED"/>
    <w:rsid w:val="00763555"/>
    <w:rsid w:val="00763E3E"/>
    <w:rsid w:val="00770C87"/>
    <w:rsid w:val="007724EA"/>
    <w:rsid w:val="00777E04"/>
    <w:rsid w:val="00785A03"/>
    <w:rsid w:val="00786D36"/>
    <w:rsid w:val="007872C2"/>
    <w:rsid w:val="00792859"/>
    <w:rsid w:val="00793E10"/>
    <w:rsid w:val="00797794"/>
    <w:rsid w:val="007A3A5A"/>
    <w:rsid w:val="007A5109"/>
    <w:rsid w:val="007B3375"/>
    <w:rsid w:val="007B7319"/>
    <w:rsid w:val="007C0219"/>
    <w:rsid w:val="007C18B4"/>
    <w:rsid w:val="007C5062"/>
    <w:rsid w:val="007C5225"/>
    <w:rsid w:val="007C5B62"/>
    <w:rsid w:val="007C7ACE"/>
    <w:rsid w:val="007D0452"/>
    <w:rsid w:val="007D3310"/>
    <w:rsid w:val="007D6917"/>
    <w:rsid w:val="007D77EE"/>
    <w:rsid w:val="007E07AF"/>
    <w:rsid w:val="007E1EE6"/>
    <w:rsid w:val="007E41EE"/>
    <w:rsid w:val="007E47D6"/>
    <w:rsid w:val="007E5065"/>
    <w:rsid w:val="007E5E3E"/>
    <w:rsid w:val="007F2A42"/>
    <w:rsid w:val="007F40E2"/>
    <w:rsid w:val="007F4407"/>
    <w:rsid w:val="007F6353"/>
    <w:rsid w:val="00801F04"/>
    <w:rsid w:val="00802129"/>
    <w:rsid w:val="008055A7"/>
    <w:rsid w:val="0080691A"/>
    <w:rsid w:val="00810992"/>
    <w:rsid w:val="00815AEA"/>
    <w:rsid w:val="00817D63"/>
    <w:rsid w:val="00820347"/>
    <w:rsid w:val="00820E91"/>
    <w:rsid w:val="0082543F"/>
    <w:rsid w:val="00832ECF"/>
    <w:rsid w:val="008331C0"/>
    <w:rsid w:val="00833595"/>
    <w:rsid w:val="008404C9"/>
    <w:rsid w:val="0084160A"/>
    <w:rsid w:val="00844372"/>
    <w:rsid w:val="00846BC5"/>
    <w:rsid w:val="0085091E"/>
    <w:rsid w:val="008526FC"/>
    <w:rsid w:val="00853D00"/>
    <w:rsid w:val="00853FBE"/>
    <w:rsid w:val="008572F2"/>
    <w:rsid w:val="00860F7B"/>
    <w:rsid w:val="00864B33"/>
    <w:rsid w:val="008666B0"/>
    <w:rsid w:val="008745A8"/>
    <w:rsid w:val="00874761"/>
    <w:rsid w:val="00876484"/>
    <w:rsid w:val="00880276"/>
    <w:rsid w:val="00882863"/>
    <w:rsid w:val="008830A7"/>
    <w:rsid w:val="00883429"/>
    <w:rsid w:val="008845E3"/>
    <w:rsid w:val="008858E8"/>
    <w:rsid w:val="00887BA3"/>
    <w:rsid w:val="00890325"/>
    <w:rsid w:val="00890628"/>
    <w:rsid w:val="00891859"/>
    <w:rsid w:val="00892452"/>
    <w:rsid w:val="008928FC"/>
    <w:rsid w:val="00895880"/>
    <w:rsid w:val="00895C55"/>
    <w:rsid w:val="00896642"/>
    <w:rsid w:val="00897F1D"/>
    <w:rsid w:val="008A0B38"/>
    <w:rsid w:val="008A6D0A"/>
    <w:rsid w:val="008A76DF"/>
    <w:rsid w:val="008B59D3"/>
    <w:rsid w:val="008B7F58"/>
    <w:rsid w:val="008C651B"/>
    <w:rsid w:val="008D5895"/>
    <w:rsid w:val="008E1BF6"/>
    <w:rsid w:val="008E3114"/>
    <w:rsid w:val="008E3AB5"/>
    <w:rsid w:val="008F379A"/>
    <w:rsid w:val="008F4232"/>
    <w:rsid w:val="008F57BA"/>
    <w:rsid w:val="008F6296"/>
    <w:rsid w:val="008F64E6"/>
    <w:rsid w:val="008F6CFC"/>
    <w:rsid w:val="009033E4"/>
    <w:rsid w:val="00905A7D"/>
    <w:rsid w:val="0091479D"/>
    <w:rsid w:val="009267BC"/>
    <w:rsid w:val="00930B64"/>
    <w:rsid w:val="00930F8C"/>
    <w:rsid w:val="00933FAD"/>
    <w:rsid w:val="00944D32"/>
    <w:rsid w:val="00947485"/>
    <w:rsid w:val="00947CC5"/>
    <w:rsid w:val="00953324"/>
    <w:rsid w:val="009545B4"/>
    <w:rsid w:val="00954A8B"/>
    <w:rsid w:val="009556A9"/>
    <w:rsid w:val="0096144A"/>
    <w:rsid w:val="00962848"/>
    <w:rsid w:val="00962EEA"/>
    <w:rsid w:val="00967A6C"/>
    <w:rsid w:val="00970DEA"/>
    <w:rsid w:val="009740DD"/>
    <w:rsid w:val="0097617E"/>
    <w:rsid w:val="0097652F"/>
    <w:rsid w:val="0097692B"/>
    <w:rsid w:val="0097743B"/>
    <w:rsid w:val="009830E1"/>
    <w:rsid w:val="00984BD9"/>
    <w:rsid w:val="00993F9B"/>
    <w:rsid w:val="009941AB"/>
    <w:rsid w:val="0099516C"/>
    <w:rsid w:val="009A0988"/>
    <w:rsid w:val="009A0FD3"/>
    <w:rsid w:val="009A4916"/>
    <w:rsid w:val="009A499A"/>
    <w:rsid w:val="009B4E8D"/>
    <w:rsid w:val="009C14DC"/>
    <w:rsid w:val="009C4F91"/>
    <w:rsid w:val="009D1D91"/>
    <w:rsid w:val="009D3344"/>
    <w:rsid w:val="009D3A98"/>
    <w:rsid w:val="009D4A9A"/>
    <w:rsid w:val="009D5694"/>
    <w:rsid w:val="009D7600"/>
    <w:rsid w:val="009E0C3D"/>
    <w:rsid w:val="009E3C4C"/>
    <w:rsid w:val="009E4CC0"/>
    <w:rsid w:val="009E5484"/>
    <w:rsid w:val="009E5585"/>
    <w:rsid w:val="009E6B48"/>
    <w:rsid w:val="009F7A71"/>
    <w:rsid w:val="00A06E63"/>
    <w:rsid w:val="00A110AD"/>
    <w:rsid w:val="00A144F1"/>
    <w:rsid w:val="00A24240"/>
    <w:rsid w:val="00A24A80"/>
    <w:rsid w:val="00A303E0"/>
    <w:rsid w:val="00A30678"/>
    <w:rsid w:val="00A32358"/>
    <w:rsid w:val="00A356C8"/>
    <w:rsid w:val="00A4553E"/>
    <w:rsid w:val="00A466EA"/>
    <w:rsid w:val="00A475F0"/>
    <w:rsid w:val="00A503EC"/>
    <w:rsid w:val="00A5507A"/>
    <w:rsid w:val="00A57E25"/>
    <w:rsid w:val="00A60829"/>
    <w:rsid w:val="00A613C0"/>
    <w:rsid w:val="00A63CC4"/>
    <w:rsid w:val="00A67E5E"/>
    <w:rsid w:val="00A7137D"/>
    <w:rsid w:val="00A75856"/>
    <w:rsid w:val="00A85967"/>
    <w:rsid w:val="00A934CB"/>
    <w:rsid w:val="00A94B18"/>
    <w:rsid w:val="00A9741E"/>
    <w:rsid w:val="00AA1F3B"/>
    <w:rsid w:val="00AA2F8B"/>
    <w:rsid w:val="00AA6E65"/>
    <w:rsid w:val="00AB1D53"/>
    <w:rsid w:val="00AB20C9"/>
    <w:rsid w:val="00AB2BAC"/>
    <w:rsid w:val="00AB35C0"/>
    <w:rsid w:val="00AB3E83"/>
    <w:rsid w:val="00AB3EF6"/>
    <w:rsid w:val="00AB4B5D"/>
    <w:rsid w:val="00AC5585"/>
    <w:rsid w:val="00AC604B"/>
    <w:rsid w:val="00AC6096"/>
    <w:rsid w:val="00AC78B9"/>
    <w:rsid w:val="00AD1597"/>
    <w:rsid w:val="00AD5CBD"/>
    <w:rsid w:val="00AE3039"/>
    <w:rsid w:val="00AE3913"/>
    <w:rsid w:val="00AE6301"/>
    <w:rsid w:val="00AE71EA"/>
    <w:rsid w:val="00AE7D98"/>
    <w:rsid w:val="00AF036B"/>
    <w:rsid w:val="00AF1591"/>
    <w:rsid w:val="00AF2CFE"/>
    <w:rsid w:val="00AF7721"/>
    <w:rsid w:val="00AF7DF4"/>
    <w:rsid w:val="00B01E21"/>
    <w:rsid w:val="00B04CB1"/>
    <w:rsid w:val="00B060A3"/>
    <w:rsid w:val="00B121B7"/>
    <w:rsid w:val="00B14660"/>
    <w:rsid w:val="00B220DE"/>
    <w:rsid w:val="00B22379"/>
    <w:rsid w:val="00B26083"/>
    <w:rsid w:val="00B34429"/>
    <w:rsid w:val="00B352F2"/>
    <w:rsid w:val="00B3786F"/>
    <w:rsid w:val="00B435D8"/>
    <w:rsid w:val="00B436F5"/>
    <w:rsid w:val="00B4452F"/>
    <w:rsid w:val="00B4599B"/>
    <w:rsid w:val="00B47A08"/>
    <w:rsid w:val="00B52F7F"/>
    <w:rsid w:val="00B5434B"/>
    <w:rsid w:val="00B56882"/>
    <w:rsid w:val="00B622DB"/>
    <w:rsid w:val="00B6291F"/>
    <w:rsid w:val="00B640DA"/>
    <w:rsid w:val="00B64B49"/>
    <w:rsid w:val="00B660B8"/>
    <w:rsid w:val="00B7123B"/>
    <w:rsid w:val="00B716B5"/>
    <w:rsid w:val="00B77550"/>
    <w:rsid w:val="00B81429"/>
    <w:rsid w:val="00B82A0D"/>
    <w:rsid w:val="00B8377B"/>
    <w:rsid w:val="00B85227"/>
    <w:rsid w:val="00B85337"/>
    <w:rsid w:val="00B8681A"/>
    <w:rsid w:val="00B93210"/>
    <w:rsid w:val="00B9462F"/>
    <w:rsid w:val="00B957AA"/>
    <w:rsid w:val="00B96E1E"/>
    <w:rsid w:val="00BA0ED1"/>
    <w:rsid w:val="00BA198F"/>
    <w:rsid w:val="00BA7687"/>
    <w:rsid w:val="00BA7BFD"/>
    <w:rsid w:val="00BB45F7"/>
    <w:rsid w:val="00BC0718"/>
    <w:rsid w:val="00BC0E15"/>
    <w:rsid w:val="00BC0EB2"/>
    <w:rsid w:val="00BC5282"/>
    <w:rsid w:val="00BC7771"/>
    <w:rsid w:val="00BD0B95"/>
    <w:rsid w:val="00BD11CD"/>
    <w:rsid w:val="00BD3710"/>
    <w:rsid w:val="00BD5658"/>
    <w:rsid w:val="00BE27AA"/>
    <w:rsid w:val="00BE4A1C"/>
    <w:rsid w:val="00BE702A"/>
    <w:rsid w:val="00BF0A23"/>
    <w:rsid w:val="00BF10B4"/>
    <w:rsid w:val="00BF422F"/>
    <w:rsid w:val="00BF4875"/>
    <w:rsid w:val="00C00F44"/>
    <w:rsid w:val="00C047B6"/>
    <w:rsid w:val="00C05E8D"/>
    <w:rsid w:val="00C07A3E"/>
    <w:rsid w:val="00C14D39"/>
    <w:rsid w:val="00C25174"/>
    <w:rsid w:val="00C304FE"/>
    <w:rsid w:val="00C33B7B"/>
    <w:rsid w:val="00C35616"/>
    <w:rsid w:val="00C40171"/>
    <w:rsid w:val="00C42561"/>
    <w:rsid w:val="00C43DCB"/>
    <w:rsid w:val="00C44980"/>
    <w:rsid w:val="00C45812"/>
    <w:rsid w:val="00C478B3"/>
    <w:rsid w:val="00C50717"/>
    <w:rsid w:val="00C56D1D"/>
    <w:rsid w:val="00C6280D"/>
    <w:rsid w:val="00C6379C"/>
    <w:rsid w:val="00C663B6"/>
    <w:rsid w:val="00C723DB"/>
    <w:rsid w:val="00C7343E"/>
    <w:rsid w:val="00C73C48"/>
    <w:rsid w:val="00C73EBA"/>
    <w:rsid w:val="00C76FAF"/>
    <w:rsid w:val="00C8091B"/>
    <w:rsid w:val="00C8380B"/>
    <w:rsid w:val="00C85134"/>
    <w:rsid w:val="00C90DEA"/>
    <w:rsid w:val="00C94F23"/>
    <w:rsid w:val="00C952C6"/>
    <w:rsid w:val="00C969FA"/>
    <w:rsid w:val="00CA1456"/>
    <w:rsid w:val="00CA291E"/>
    <w:rsid w:val="00CA71A6"/>
    <w:rsid w:val="00CB1A67"/>
    <w:rsid w:val="00CB1F51"/>
    <w:rsid w:val="00CB25E7"/>
    <w:rsid w:val="00CB4984"/>
    <w:rsid w:val="00CC3022"/>
    <w:rsid w:val="00CC6D11"/>
    <w:rsid w:val="00CC72A5"/>
    <w:rsid w:val="00CD4CF7"/>
    <w:rsid w:val="00CD6F67"/>
    <w:rsid w:val="00CE07C3"/>
    <w:rsid w:val="00CE4C72"/>
    <w:rsid w:val="00CF0F9B"/>
    <w:rsid w:val="00CF289E"/>
    <w:rsid w:val="00CF60D2"/>
    <w:rsid w:val="00CF6CAA"/>
    <w:rsid w:val="00CF7059"/>
    <w:rsid w:val="00D01265"/>
    <w:rsid w:val="00D02C5D"/>
    <w:rsid w:val="00D06DD3"/>
    <w:rsid w:val="00D06DE4"/>
    <w:rsid w:val="00D11304"/>
    <w:rsid w:val="00D11EB0"/>
    <w:rsid w:val="00D1284A"/>
    <w:rsid w:val="00D12AD8"/>
    <w:rsid w:val="00D17009"/>
    <w:rsid w:val="00D20276"/>
    <w:rsid w:val="00D2129B"/>
    <w:rsid w:val="00D30DEB"/>
    <w:rsid w:val="00D34CDF"/>
    <w:rsid w:val="00D356DE"/>
    <w:rsid w:val="00D40F2A"/>
    <w:rsid w:val="00D41C78"/>
    <w:rsid w:val="00D42793"/>
    <w:rsid w:val="00D45CDC"/>
    <w:rsid w:val="00D46EF4"/>
    <w:rsid w:val="00D5311F"/>
    <w:rsid w:val="00D5775E"/>
    <w:rsid w:val="00D601BB"/>
    <w:rsid w:val="00D634A7"/>
    <w:rsid w:val="00D63C3E"/>
    <w:rsid w:val="00D65A21"/>
    <w:rsid w:val="00D70AEF"/>
    <w:rsid w:val="00D74A6E"/>
    <w:rsid w:val="00D77353"/>
    <w:rsid w:val="00D8421D"/>
    <w:rsid w:val="00D84906"/>
    <w:rsid w:val="00D870E3"/>
    <w:rsid w:val="00D9611F"/>
    <w:rsid w:val="00DA0FC8"/>
    <w:rsid w:val="00DA253C"/>
    <w:rsid w:val="00DA58D5"/>
    <w:rsid w:val="00DB34A1"/>
    <w:rsid w:val="00DB595A"/>
    <w:rsid w:val="00DB5ADC"/>
    <w:rsid w:val="00DC3649"/>
    <w:rsid w:val="00DC3E3C"/>
    <w:rsid w:val="00DD730A"/>
    <w:rsid w:val="00DE270F"/>
    <w:rsid w:val="00DE39F2"/>
    <w:rsid w:val="00DF0D12"/>
    <w:rsid w:val="00DF1F8B"/>
    <w:rsid w:val="00DF3BBA"/>
    <w:rsid w:val="00DF5053"/>
    <w:rsid w:val="00E05346"/>
    <w:rsid w:val="00E109C4"/>
    <w:rsid w:val="00E12D61"/>
    <w:rsid w:val="00E157CF"/>
    <w:rsid w:val="00E23FEA"/>
    <w:rsid w:val="00E24A27"/>
    <w:rsid w:val="00E309DB"/>
    <w:rsid w:val="00E324F3"/>
    <w:rsid w:val="00E3518A"/>
    <w:rsid w:val="00E3568E"/>
    <w:rsid w:val="00E40C42"/>
    <w:rsid w:val="00E448B1"/>
    <w:rsid w:val="00E44ED5"/>
    <w:rsid w:val="00E4592C"/>
    <w:rsid w:val="00E46E97"/>
    <w:rsid w:val="00E620AF"/>
    <w:rsid w:val="00E7203F"/>
    <w:rsid w:val="00E74342"/>
    <w:rsid w:val="00E921AC"/>
    <w:rsid w:val="00EA2027"/>
    <w:rsid w:val="00EA52E8"/>
    <w:rsid w:val="00EA538C"/>
    <w:rsid w:val="00EC2921"/>
    <w:rsid w:val="00ED10AA"/>
    <w:rsid w:val="00ED380D"/>
    <w:rsid w:val="00ED5427"/>
    <w:rsid w:val="00ED58E3"/>
    <w:rsid w:val="00EE3195"/>
    <w:rsid w:val="00EE3CA1"/>
    <w:rsid w:val="00EE7145"/>
    <w:rsid w:val="00EF1365"/>
    <w:rsid w:val="00EF30C3"/>
    <w:rsid w:val="00EF49C3"/>
    <w:rsid w:val="00EF5189"/>
    <w:rsid w:val="00EF7A71"/>
    <w:rsid w:val="00F0294A"/>
    <w:rsid w:val="00F03AEA"/>
    <w:rsid w:val="00F03DC8"/>
    <w:rsid w:val="00F06E9E"/>
    <w:rsid w:val="00F1120F"/>
    <w:rsid w:val="00F11798"/>
    <w:rsid w:val="00F151AB"/>
    <w:rsid w:val="00F158E0"/>
    <w:rsid w:val="00F16FCC"/>
    <w:rsid w:val="00F21040"/>
    <w:rsid w:val="00F2324D"/>
    <w:rsid w:val="00F2503E"/>
    <w:rsid w:val="00F3049E"/>
    <w:rsid w:val="00F359B2"/>
    <w:rsid w:val="00F41727"/>
    <w:rsid w:val="00F43776"/>
    <w:rsid w:val="00F446C2"/>
    <w:rsid w:val="00F45329"/>
    <w:rsid w:val="00F67E29"/>
    <w:rsid w:val="00F74279"/>
    <w:rsid w:val="00F75DF1"/>
    <w:rsid w:val="00F8156F"/>
    <w:rsid w:val="00F828AB"/>
    <w:rsid w:val="00F85210"/>
    <w:rsid w:val="00F87090"/>
    <w:rsid w:val="00F90DCB"/>
    <w:rsid w:val="00F90E47"/>
    <w:rsid w:val="00F926BE"/>
    <w:rsid w:val="00FB4603"/>
    <w:rsid w:val="00FC00BA"/>
    <w:rsid w:val="00FC11C2"/>
    <w:rsid w:val="00FC6A46"/>
    <w:rsid w:val="00FD7076"/>
    <w:rsid w:val="00FE2448"/>
    <w:rsid w:val="00FE39FD"/>
    <w:rsid w:val="00FE59A5"/>
    <w:rsid w:val="00FF1AE1"/>
    <w:rsid w:val="00FF28BC"/>
    <w:rsid w:val="3B2D64A6"/>
    <w:rsid w:val="45A42332"/>
    <w:rsid w:val="7F197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3" fillcolor="white">
      <v:fill color="white"/>
    </o:shapedefaults>
    <o:shapelayout v:ext="edit">
      <o:idmap v:ext="edit" data="2"/>
    </o:shapelayout>
  </w:shapeDefaults>
  <w:decimalSymbol w:val="."/>
  <w:listSeparator w:val=","/>
  <w14:docId w14:val="3ED912F2"/>
  <w15:docId w15:val="{E054E3FE-B2F1-49FF-8700-447ED77E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Pr>
      <w:rFonts w:ascii="Arial" w:eastAsiaTheme="minorEastAsia" w:hAnsi="Arial" w:cstheme="minorBidi"/>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Imagecaption"/>
    <w:next w:val="Bodytext"/>
    <w:uiPriority w:val="35"/>
    <w:semiHidden/>
    <w:unhideWhenUsed/>
    <w:qFormat/>
    <w:rPr>
      <w:bCs/>
      <w:szCs w:val="18"/>
    </w:rPr>
  </w:style>
  <w:style w:type="paragraph" w:customStyle="1" w:styleId="Imagecaption">
    <w:name w:val="_Image caption"/>
    <w:basedOn w:val="Normaltext"/>
    <w:next w:val="Bodytext"/>
    <w:qFormat/>
    <w:pPr>
      <w:spacing w:before="90" w:line="180" w:lineRule="atLeast"/>
    </w:pPr>
    <w:rPr>
      <w:i/>
      <w:sz w:val="14"/>
    </w:rPr>
  </w:style>
  <w:style w:type="paragraph" w:customStyle="1" w:styleId="Normaltext">
    <w:name w:val="__Normal text"/>
    <w:basedOn w:val="Normal"/>
    <w:semiHidden/>
    <w:qFormat/>
    <w:locked/>
  </w:style>
  <w:style w:type="paragraph" w:customStyle="1" w:styleId="Bodytext">
    <w:name w:val="_Body text"/>
    <w:link w:val="BodytextChar"/>
    <w:qFormat/>
    <w:pPr>
      <w:spacing w:line="240" w:lineRule="atLeast"/>
    </w:pPr>
    <w:rPr>
      <w:rFonts w:ascii="Arial" w:eastAsiaTheme="minorEastAsia" w:hAnsi="Arial" w:cstheme="minorBidi"/>
      <w:szCs w:val="22"/>
      <w:lang w:val="en-GB" w:eastAsia="en-US"/>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pPr>
    <w:rPr>
      <w:rFonts w:asciiTheme="minorHAnsi" w:hAnsiTheme="minorHAnsi"/>
      <w:sz w:val="22"/>
    </w:rPr>
  </w:style>
  <w:style w:type="paragraph" w:styleId="Header">
    <w:name w:val="header"/>
    <w:basedOn w:val="Normal"/>
    <w:link w:val="HeaderChar"/>
    <w:uiPriority w:val="99"/>
    <w:unhideWhenUsed/>
    <w:qFormat/>
    <w:pPr>
      <w:tabs>
        <w:tab w:val="center" w:pos="4513"/>
        <w:tab w:val="right" w:pos="9026"/>
      </w:tabs>
    </w:pPr>
    <w:rPr>
      <w:rFonts w:asciiTheme="minorHAnsi" w:hAnsiTheme="minorHAnsi"/>
      <w:sz w:val="22"/>
    </w:rPr>
  </w:style>
  <w:style w:type="paragraph" w:styleId="FootnoteText">
    <w:name w:val="footnote text"/>
    <w:basedOn w:val="Normal"/>
    <w:link w:val="FootnoteTextChar"/>
    <w:uiPriority w:val="99"/>
    <w:semiHidden/>
    <w:unhideWhenUsed/>
    <w:qFormat/>
    <w:pPr>
      <w:tabs>
        <w:tab w:val="left" w:pos="85"/>
      </w:tabs>
      <w:spacing w:line="180" w:lineRule="atLeast"/>
      <w:ind w:left="85" w:hanging="85"/>
    </w:pPr>
    <w:rPr>
      <w:sz w:val="14"/>
      <w:szCs w:val="20"/>
    </w:rPr>
  </w:style>
  <w:style w:type="paragraph" w:styleId="NormalWeb">
    <w:name w:val="Normal (Web)"/>
    <w:basedOn w:val="Normal"/>
    <w:uiPriority w:val="99"/>
    <w:semiHidden/>
    <w:unhideWhenUsed/>
    <w:qFormat/>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FollowedHyperlink">
    <w:name w:val="FollowedHyperlink"/>
    <w:basedOn w:val="DefaultParagraphFont"/>
    <w:uiPriority w:val="99"/>
    <w:semiHidden/>
    <w:unhideWhenUsed/>
    <w:qFormat/>
    <w:rPr>
      <w:color w:val="800080"/>
      <w:u w:val="single"/>
    </w:rPr>
  </w:style>
  <w:style w:type="character" w:styleId="Hyperlink">
    <w:name w:val="Hyperlink"/>
    <w:basedOn w:val="DefaultParagraphFont"/>
    <w:uiPriority w:val="99"/>
    <w:unhideWhenUsed/>
    <w:qFormat/>
    <w:rPr>
      <w:color w:val="auto"/>
      <w:u w:val="none"/>
    </w:rPr>
  </w:style>
  <w:style w:type="character" w:styleId="CommentReference">
    <w:name w:val="annotation reference"/>
    <w:basedOn w:val="DefaultParagraphFont"/>
    <w:uiPriority w:val="99"/>
    <w:semiHidden/>
    <w:unhideWhenUsed/>
    <w:rPr>
      <w:sz w:val="21"/>
      <w:szCs w:val="21"/>
    </w:rPr>
  </w:style>
  <w:style w:type="character" w:styleId="FootnoteReference">
    <w:name w:val="footnote reference"/>
    <w:basedOn w:val="DefaultParagraphFont"/>
    <w:uiPriority w:val="99"/>
    <w:semiHidden/>
    <w:unhideWhenUsed/>
    <w:rPr>
      <w:rFonts w:ascii="Arial" w:hAnsi="Arial"/>
      <w:sz w:val="14"/>
      <w:vertAlign w:val="superscript"/>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Bodytextbold">
    <w:name w:val="_Body text bold"/>
    <w:basedOn w:val="Bodytext"/>
    <w:next w:val="Bodytext"/>
    <w:qFormat/>
    <w:rPr>
      <w:b/>
    </w:rPr>
  </w:style>
  <w:style w:type="paragraph" w:customStyle="1" w:styleId="Spacer">
    <w:name w:val="_Spacer"/>
    <w:semiHidden/>
    <w:qFormat/>
    <w:rPr>
      <w:rFonts w:ascii="Arial" w:eastAsiaTheme="minorEastAsia" w:hAnsi="Arial" w:cstheme="minorBidi"/>
      <w:sz w:val="2"/>
      <w:szCs w:val="22"/>
      <w:lang w:val="en-GB" w:eastAsia="en-US"/>
    </w:rPr>
  </w:style>
  <w:style w:type="paragraph" w:customStyle="1" w:styleId="Footercover">
    <w:name w:val="_Footer cover"/>
    <w:basedOn w:val="Normal"/>
    <w:qFormat/>
    <w:pPr>
      <w:tabs>
        <w:tab w:val="left" w:pos="1644"/>
        <w:tab w:val="left" w:pos="3232"/>
        <w:tab w:val="right" w:pos="8278"/>
      </w:tabs>
      <w:spacing w:line="180" w:lineRule="exact"/>
    </w:pPr>
    <w:rPr>
      <w:sz w:val="14"/>
    </w:rPr>
  </w:style>
  <w:style w:type="paragraph" w:customStyle="1" w:styleId="baseHeading">
    <w:name w:val="__base Heading"/>
    <w:basedOn w:val="Normaltext"/>
    <w:semiHidden/>
    <w:qFormat/>
    <w:locked/>
    <w:rPr>
      <w:b/>
    </w:rPr>
  </w:style>
  <w:style w:type="table" w:customStyle="1" w:styleId="Table">
    <w:name w:val="__Table"/>
    <w:basedOn w:val="TableNormal"/>
    <w:uiPriority w:val="99"/>
    <w:qFormat/>
    <w:locked/>
    <w:rPr>
      <w:rFonts w:ascii="Arial" w:hAnsi="Arial"/>
      <w:sz w:val="16"/>
    </w:rPr>
    <w:tblPr>
      <w:tblBorders>
        <w:bottom w:val="single" w:sz="4" w:space="0" w:color="auto"/>
        <w:insideV w:val="single" w:sz="2" w:space="0" w:color="7F7F7F"/>
      </w:tblBorders>
      <w:tblCellMar>
        <w:top w:w="57" w:type="dxa"/>
        <w:left w:w="57" w:type="dxa"/>
        <w:bottom w:w="57" w:type="dxa"/>
        <w:right w:w="57" w:type="dxa"/>
      </w:tblCellMar>
    </w:tblPr>
    <w:tcPr>
      <w:shd w:val="clear" w:color="auto" w:fill="auto"/>
      <w:vAlign w:val="bottom"/>
    </w:tcPr>
    <w:tblStylePr w:type="firstRow">
      <w:pPr>
        <w:wordWrap/>
        <w:spacing w:beforeLines="0" w:beforeAutospacing="0" w:afterLines="0" w:afterAutospacing="0" w:line="240" w:lineRule="auto"/>
        <w:ind w:leftChars="0" w:left="0" w:rightChars="0" w:right="0"/>
        <w:contextualSpacing/>
      </w:pPr>
      <w:rPr>
        <w:rFonts w:ascii="Arial" w:hAnsi="Arial"/>
        <w:b/>
        <w:color w:val="FFFFFF" w:themeColor="background1"/>
        <w:sz w:val="16"/>
      </w:rPr>
      <w:tblPr/>
      <w:trPr>
        <w:tblHeader/>
      </w:trPr>
      <w:tcPr>
        <w:shd w:val="clear" w:color="auto" w:fill="000000" w:themeFill="text1"/>
        <w:noWrap/>
        <w:tcMar>
          <w:top w:w="0" w:type="dxa"/>
          <w:left w:w="57" w:type="dxa"/>
          <w:bottom w:w="57" w:type="dxa"/>
          <w:right w:w="57" w:type="dxa"/>
        </w:tcMar>
      </w:tcPr>
    </w:tblStylePr>
    <w:tblStylePr w:type="lastRow">
      <w:tblPr/>
      <w:tcPr>
        <w:tcBorders>
          <w:bottom w:val="nil"/>
        </w:tcBorders>
      </w:tcPr>
    </w:tblStylePr>
    <w:tblStylePr w:type="band2Horz">
      <w:tblPr/>
      <w:tcPr>
        <w:shd w:val="clear" w:color="auto" w:fill="E7E7E7"/>
      </w:tcPr>
    </w:tblStylePr>
  </w:style>
  <w:style w:type="paragraph" w:customStyle="1" w:styleId="Tableplaceholder">
    <w:name w:val="__Table placeholder"/>
    <w:basedOn w:val="Normal"/>
    <w:qFormat/>
    <w:locked/>
    <w:pPr>
      <w:keepNext/>
      <w:keepLines/>
      <w:jc w:val="center"/>
    </w:pPr>
    <w:rPr>
      <w:sz w:val="18"/>
      <w:lang w:eastAsia="en-GB"/>
    </w:rPr>
  </w:style>
  <w:style w:type="paragraph" w:customStyle="1" w:styleId="Bodytextlevel1">
    <w:name w:val="_Body text level 1"/>
    <w:basedOn w:val="Bodytext"/>
    <w:qFormat/>
    <w:pPr>
      <w:numPr>
        <w:ilvl w:val="1"/>
        <w:numId w:val="1"/>
      </w:numPr>
      <w:tabs>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s>
    </w:pPr>
  </w:style>
  <w:style w:type="paragraph" w:customStyle="1" w:styleId="Bodytextlevel2">
    <w:name w:val="_Body text level 2"/>
    <w:basedOn w:val="Bodytext"/>
    <w:qFormat/>
    <w:pPr>
      <w:numPr>
        <w:ilvl w:val="2"/>
        <w:numId w:val="1"/>
      </w:numPr>
      <w:tabs>
        <w:tab w:val="left" w:pos="425"/>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s>
    </w:pPr>
  </w:style>
  <w:style w:type="paragraph" w:customStyle="1" w:styleId="Bodytextlevel3">
    <w:name w:val="_Body text level 3"/>
    <w:basedOn w:val="Bodytext"/>
    <w:qFormat/>
    <w:pPr>
      <w:numPr>
        <w:ilvl w:val="3"/>
        <w:numId w:val="1"/>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s>
    </w:pPr>
  </w:style>
  <w:style w:type="paragraph" w:customStyle="1" w:styleId="Bullet1">
    <w:name w:val="_Bullet 1"/>
    <w:basedOn w:val="Normaltext"/>
    <w:qFormat/>
    <w:pPr>
      <w:numPr>
        <w:numId w:val="2"/>
      </w:numPr>
      <w:spacing w:line="240" w:lineRule="atLeast"/>
    </w:pPr>
  </w:style>
  <w:style w:type="paragraph" w:customStyle="1" w:styleId="Bullet2">
    <w:name w:val="_Bullet 2"/>
    <w:basedOn w:val="Normaltext"/>
    <w:qFormat/>
    <w:pPr>
      <w:numPr>
        <w:ilvl w:val="2"/>
        <w:numId w:val="2"/>
      </w:numPr>
      <w:spacing w:line="240" w:lineRule="atLeast"/>
    </w:pPr>
  </w:style>
  <w:style w:type="paragraph" w:customStyle="1" w:styleId="Tableheading">
    <w:name w:val="_Table heading"/>
    <w:basedOn w:val="Normaltext"/>
    <w:next w:val="Normal"/>
    <w:qFormat/>
    <w:pPr>
      <w:spacing w:line="240" w:lineRule="atLeast"/>
    </w:pPr>
    <w:rPr>
      <w:b/>
    </w:rPr>
  </w:style>
  <w:style w:type="paragraph" w:customStyle="1" w:styleId="Chartheading">
    <w:name w:val="_Chart heading"/>
    <w:basedOn w:val="Tableheading"/>
    <w:next w:val="Normal"/>
    <w:qFormat/>
  </w:style>
  <w:style w:type="paragraph" w:customStyle="1" w:styleId="Tablesubheading">
    <w:name w:val="_Table subheading"/>
    <w:basedOn w:val="Tableheading"/>
    <w:qFormat/>
    <w:rPr>
      <w:b w:val="0"/>
    </w:rPr>
  </w:style>
  <w:style w:type="paragraph" w:customStyle="1" w:styleId="Chartsubheading">
    <w:name w:val="_Chart subheading"/>
    <w:basedOn w:val="Tablesubheading"/>
    <w:qFormat/>
  </w:style>
  <w:style w:type="paragraph" w:customStyle="1" w:styleId="Coverheading">
    <w:name w:val="_Cover heading"/>
    <w:basedOn w:val="baseHeading"/>
    <w:next w:val="Normal"/>
    <w:semiHidden/>
    <w:qFormat/>
    <w:pPr>
      <w:spacing w:line="400" w:lineRule="atLeast"/>
    </w:pPr>
    <w:rPr>
      <w:sz w:val="36"/>
    </w:rPr>
  </w:style>
  <w:style w:type="paragraph" w:customStyle="1" w:styleId="Coversubheading">
    <w:name w:val="_Cover subheading"/>
    <w:basedOn w:val="baseHeading"/>
    <w:next w:val="Normal"/>
    <w:semiHidden/>
    <w:qFormat/>
    <w:pPr>
      <w:framePr w:wrap="around" w:vAnchor="page" w:hAnchor="margin" w:y="3063"/>
    </w:pPr>
    <w:rPr>
      <w:b w:val="0"/>
      <w:sz w:val="36"/>
    </w:rPr>
  </w:style>
  <w:style w:type="paragraph" w:customStyle="1" w:styleId="Dash1">
    <w:name w:val="_Dash 1"/>
    <w:basedOn w:val="Normaltext"/>
    <w:qFormat/>
    <w:pPr>
      <w:numPr>
        <w:ilvl w:val="1"/>
        <w:numId w:val="2"/>
      </w:numPr>
      <w:spacing w:line="240" w:lineRule="atLeast"/>
    </w:pPr>
  </w:style>
  <w:style w:type="paragraph" w:customStyle="1" w:styleId="Dash2">
    <w:name w:val="_Dash 2"/>
    <w:basedOn w:val="Normaltext"/>
    <w:qFormat/>
    <w:pPr>
      <w:numPr>
        <w:ilvl w:val="3"/>
        <w:numId w:val="2"/>
      </w:numPr>
      <w:spacing w:line="240" w:lineRule="atLeast"/>
    </w:pPr>
  </w:style>
  <w:style w:type="paragraph" w:customStyle="1" w:styleId="Date">
    <w:name w:val="_Date"/>
    <w:basedOn w:val="baseHeading"/>
    <w:semiHidden/>
    <w:qFormat/>
    <w:pPr>
      <w:spacing w:after="130" w:line="400" w:lineRule="atLeast"/>
    </w:pPr>
    <w:rPr>
      <w:b w:val="0"/>
      <w:sz w:val="32"/>
    </w:rPr>
  </w:style>
  <w:style w:type="paragraph" w:customStyle="1" w:styleId="Footer0">
    <w:name w:val="_Footer"/>
    <w:basedOn w:val="Normaltext"/>
    <w:semiHidden/>
    <w:qFormat/>
    <w:pPr>
      <w:tabs>
        <w:tab w:val="right" w:pos="8278"/>
      </w:tabs>
      <w:spacing w:line="180" w:lineRule="exact"/>
    </w:pPr>
    <w:rPr>
      <w:sz w:val="14"/>
    </w:rPr>
  </w:style>
  <w:style w:type="paragraph" w:customStyle="1" w:styleId="Footerlandscape">
    <w:name w:val="_Footer landscape"/>
    <w:basedOn w:val="Footer0"/>
    <w:semiHidden/>
    <w:qFormat/>
    <w:pPr>
      <w:tabs>
        <w:tab w:val="clear" w:pos="8278"/>
        <w:tab w:val="right" w:pos="14175"/>
      </w:tabs>
    </w:pPr>
  </w:style>
  <w:style w:type="paragraph" w:customStyle="1" w:styleId="Heading1">
    <w:name w:val="_Heading 1"/>
    <w:basedOn w:val="baseHeading"/>
    <w:next w:val="Bodytext"/>
    <w:qFormat/>
    <w:pPr>
      <w:spacing w:line="320" w:lineRule="atLeast"/>
    </w:pPr>
    <w:rPr>
      <w:sz w:val="28"/>
    </w:rPr>
  </w:style>
  <w:style w:type="paragraph" w:customStyle="1" w:styleId="Heading2">
    <w:name w:val="_Heading 2"/>
    <w:basedOn w:val="baseHeading"/>
    <w:next w:val="Bodytext"/>
    <w:qFormat/>
    <w:pPr>
      <w:spacing w:line="280" w:lineRule="atLeast"/>
    </w:pPr>
    <w:rPr>
      <w:sz w:val="24"/>
    </w:rPr>
  </w:style>
  <w:style w:type="paragraph" w:customStyle="1" w:styleId="Heading3">
    <w:name w:val="_Heading 3"/>
    <w:basedOn w:val="baseHeading"/>
    <w:next w:val="Bodytext"/>
    <w:qFormat/>
    <w:pPr>
      <w:spacing w:line="240" w:lineRule="atLeast"/>
    </w:pPr>
  </w:style>
  <w:style w:type="paragraph" w:customStyle="1" w:styleId="Listlevel1">
    <w:name w:val="_List level 1"/>
    <w:basedOn w:val="Normaltext"/>
    <w:next w:val="Bodytextlevel1"/>
    <w:qFormat/>
    <w:pPr>
      <w:numPr>
        <w:numId w:val="3"/>
      </w:numPr>
      <w:tabs>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s>
      <w:spacing w:line="240" w:lineRule="atLeast"/>
    </w:pPr>
    <w:rPr>
      <w:b/>
    </w:rPr>
  </w:style>
  <w:style w:type="paragraph" w:customStyle="1" w:styleId="Listlevel1unbold">
    <w:name w:val="_List level 1 unbold"/>
    <w:basedOn w:val="Listlevel1"/>
    <w:qFormat/>
    <w:pPr>
      <w:numPr>
        <w:numId w:val="4"/>
      </w:numPr>
    </w:pPr>
    <w:rPr>
      <w:b w:val="0"/>
    </w:rPr>
  </w:style>
  <w:style w:type="paragraph" w:customStyle="1" w:styleId="Listlevel2">
    <w:name w:val="_List level 2"/>
    <w:basedOn w:val="Listlevel1"/>
    <w:next w:val="Bodytextlevel1"/>
    <w:qFormat/>
    <w:pPr>
      <w:numPr>
        <w:ilvl w:val="1"/>
      </w:numPr>
    </w:pPr>
  </w:style>
  <w:style w:type="paragraph" w:customStyle="1" w:styleId="Listlevel2unbold">
    <w:name w:val="_List level 2 unbold"/>
    <w:basedOn w:val="Listlevel2"/>
    <w:qFormat/>
    <w:pPr>
      <w:numPr>
        <w:numId w:val="4"/>
      </w:numPr>
    </w:pPr>
    <w:rPr>
      <w:b w:val="0"/>
    </w:rPr>
  </w:style>
  <w:style w:type="paragraph" w:customStyle="1" w:styleId="Listlevel3">
    <w:name w:val="_List level 3"/>
    <w:basedOn w:val="Listlevel1"/>
    <w:next w:val="Bodytextlevel1"/>
    <w:qFormat/>
    <w:pPr>
      <w:numPr>
        <w:ilvl w:val="2"/>
      </w:numPr>
    </w:pPr>
  </w:style>
  <w:style w:type="paragraph" w:customStyle="1" w:styleId="Listlevel3unbold">
    <w:name w:val="_List level 3 unbold"/>
    <w:basedOn w:val="Listlevel3"/>
    <w:qFormat/>
    <w:pPr>
      <w:numPr>
        <w:numId w:val="4"/>
      </w:numPr>
    </w:pPr>
    <w:rPr>
      <w:b w:val="0"/>
    </w:rPr>
  </w:style>
  <w:style w:type="paragraph" w:customStyle="1" w:styleId="Listlevel4">
    <w:name w:val="_List level 4"/>
    <w:basedOn w:val="Listlevel1"/>
    <w:next w:val="Bodytextlevel1"/>
    <w:qFormat/>
    <w:pPr>
      <w:numPr>
        <w:ilvl w:val="3"/>
      </w:numPr>
    </w:pPr>
  </w:style>
  <w:style w:type="paragraph" w:customStyle="1" w:styleId="Listlevel4unbold">
    <w:name w:val="_List level 4 unbold"/>
    <w:basedOn w:val="Listlevel4"/>
    <w:qFormat/>
    <w:pPr>
      <w:numPr>
        <w:numId w:val="4"/>
      </w:numPr>
    </w:pPr>
    <w:rPr>
      <w:b w:val="0"/>
    </w:rPr>
  </w:style>
  <w:style w:type="paragraph" w:customStyle="1" w:styleId="Listleveltext">
    <w:name w:val="_List level text"/>
    <w:basedOn w:val="Normaltext"/>
    <w:qFormat/>
    <w:pPr>
      <w:spacing w:line="240" w:lineRule="atLeast"/>
      <w:ind w:left="425"/>
    </w:pPr>
  </w:style>
  <w:style w:type="paragraph" w:customStyle="1" w:styleId="Notestext">
    <w:name w:val="_Notes text"/>
    <w:basedOn w:val="Normaltext"/>
    <w:qFormat/>
    <w:pPr>
      <w:spacing w:line="180" w:lineRule="atLeast"/>
    </w:pPr>
    <w:rPr>
      <w:sz w:val="14"/>
    </w:rPr>
  </w:style>
  <w:style w:type="paragraph" w:customStyle="1" w:styleId="Notesheading">
    <w:name w:val="_Notes heading"/>
    <w:basedOn w:val="Notestext"/>
    <w:next w:val="Notestext"/>
    <w:qFormat/>
    <w:pPr>
      <w:spacing w:before="90"/>
    </w:pPr>
    <w:rPr>
      <w:b/>
    </w:rPr>
  </w:style>
  <w:style w:type="paragraph" w:customStyle="1" w:styleId="Tableheaderlf">
    <w:name w:val="_Table header lf"/>
    <w:basedOn w:val="Tablesubheading"/>
    <w:qFormat/>
    <w:pPr>
      <w:spacing w:before="57" w:line="200" w:lineRule="atLeast"/>
      <w:contextualSpacing/>
    </w:pPr>
    <w:rPr>
      <w:b/>
      <w:color w:val="FFFFFF" w:themeColor="background1"/>
      <w:sz w:val="16"/>
    </w:rPr>
  </w:style>
  <w:style w:type="paragraph" w:customStyle="1" w:styleId="Tableheadercr">
    <w:name w:val="_Table header cr"/>
    <w:basedOn w:val="Tableheaderlf"/>
    <w:qFormat/>
    <w:pPr>
      <w:jc w:val="center"/>
    </w:pPr>
  </w:style>
  <w:style w:type="paragraph" w:customStyle="1" w:styleId="Tableheaderrt">
    <w:name w:val="_Table header rt"/>
    <w:basedOn w:val="Tableheaderlf"/>
    <w:qFormat/>
    <w:pPr>
      <w:jc w:val="right"/>
    </w:pPr>
  </w:style>
  <w:style w:type="paragraph" w:customStyle="1" w:styleId="Tablesource">
    <w:name w:val="_Table source"/>
    <w:basedOn w:val="Normaltext"/>
    <w:qFormat/>
    <w:pPr>
      <w:spacing w:line="180" w:lineRule="atLeast"/>
    </w:pPr>
    <w:rPr>
      <w:sz w:val="14"/>
    </w:rPr>
  </w:style>
  <w:style w:type="paragraph" w:customStyle="1" w:styleId="Tabletextlf">
    <w:name w:val="_Table text lf"/>
    <w:basedOn w:val="Normaltext"/>
    <w:qFormat/>
    <w:pPr>
      <w:spacing w:line="200" w:lineRule="atLeast"/>
    </w:pPr>
    <w:rPr>
      <w:sz w:val="16"/>
    </w:rPr>
  </w:style>
  <w:style w:type="paragraph" w:customStyle="1" w:styleId="Tabletextcr">
    <w:name w:val="_Table text cr"/>
    <w:basedOn w:val="Tabletextlf"/>
    <w:qFormat/>
    <w:pPr>
      <w:jc w:val="center"/>
    </w:pPr>
  </w:style>
  <w:style w:type="paragraph" w:customStyle="1" w:styleId="Tabletextrt">
    <w:name w:val="_Table text rt"/>
    <w:basedOn w:val="Tabletextlf"/>
    <w:qFormat/>
    <w:pPr>
      <w:jc w:val="right"/>
    </w:pPr>
  </w:style>
  <w:style w:type="character" w:customStyle="1" w:styleId="FootnoteTextChar">
    <w:name w:val="Footnote Text Char"/>
    <w:basedOn w:val="DefaultParagraphFont"/>
    <w:link w:val="FootnoteText"/>
    <w:uiPriority w:val="99"/>
    <w:semiHidden/>
    <w:qFormat/>
    <w:rPr>
      <w:rFonts w:ascii="Arial" w:hAnsi="Arial"/>
      <w:sz w:val="14"/>
      <w:szCs w:val="20"/>
    </w:rPr>
  </w:style>
  <w:style w:type="paragraph" w:styleId="ListParagraph">
    <w:name w:val="List Paragraph"/>
    <w:basedOn w:val="Normal"/>
    <w:uiPriority w:val="34"/>
    <w:qFormat/>
    <w:pPr>
      <w:ind w:firstLineChars="200" w:firstLine="420"/>
    </w:pPr>
  </w:style>
  <w:style w:type="character" w:customStyle="1" w:styleId="BodytextChar">
    <w:name w:val="_Body text Char"/>
    <w:basedOn w:val="DefaultParagraphFont"/>
    <w:link w:val="Bodytext"/>
    <w:qFormat/>
    <w:locked/>
    <w:rPr>
      <w:rFonts w:ascii="Arial" w:hAnsi="Arial"/>
      <w:sz w:val="20"/>
    </w:rPr>
  </w:style>
  <w:style w:type="character" w:customStyle="1" w:styleId="WGCBodyCopyChar">
    <w:name w:val="WGC Body Copy Char"/>
    <w:link w:val="WGCBodyCopy"/>
    <w:qFormat/>
    <w:locked/>
    <w:rPr>
      <w:rFonts w:ascii="Times New Roman" w:eastAsia="Times New Roman" w:hAnsi="Times New Roman" w:cs="Times New Roman"/>
      <w:lang w:eastAsia="en-GB" w:bidi="en-US"/>
    </w:rPr>
  </w:style>
  <w:style w:type="paragraph" w:customStyle="1" w:styleId="WGCBodyCopy">
    <w:name w:val="WGC Body Copy"/>
    <w:basedOn w:val="Normal"/>
    <w:link w:val="WGCBodyCopyChar"/>
    <w:qFormat/>
    <w:pPr>
      <w:spacing w:after="200"/>
      <w:jc w:val="both"/>
    </w:pPr>
    <w:rPr>
      <w:rFonts w:ascii="Times New Roman" w:eastAsia="Times New Roman" w:hAnsi="Times New Roman" w:cs="Times New Roman"/>
      <w:sz w:val="22"/>
      <w:lang w:eastAsia="en-GB" w:bidi="en-US"/>
    </w:rPr>
  </w:style>
  <w:style w:type="character" w:customStyle="1" w:styleId="CommentTextChar">
    <w:name w:val="Comment Text Char"/>
    <w:basedOn w:val="DefaultParagraphFont"/>
    <w:link w:val="CommentText"/>
    <w:uiPriority w:val="99"/>
    <w:semiHidden/>
    <w:qFormat/>
    <w:rPr>
      <w:rFonts w:ascii="Arial" w:hAnsi="Arial"/>
      <w:sz w:val="20"/>
    </w:rPr>
  </w:style>
  <w:style w:type="character" w:customStyle="1" w:styleId="CommentSubjectChar">
    <w:name w:val="Comment Subject Char"/>
    <w:basedOn w:val="CommentTextChar"/>
    <w:link w:val="CommentSubject"/>
    <w:uiPriority w:val="99"/>
    <w:semiHidden/>
    <w:qFormat/>
    <w:rPr>
      <w:rFonts w:ascii="Arial" w:hAnsi="Arial"/>
      <w:b/>
      <w:bCs/>
      <w:sz w:val="20"/>
    </w:rPr>
  </w:style>
  <w:style w:type="paragraph" w:customStyle="1" w:styleId="Revision1">
    <w:name w:val="Revision1"/>
    <w:hidden/>
    <w:uiPriority w:val="99"/>
    <w:semiHidden/>
    <w:qFormat/>
    <w:rPr>
      <w:rFonts w:ascii="Arial" w:eastAsiaTheme="minorEastAsia" w:hAnsi="Arial" w:cstheme="minorBidi"/>
      <w:szCs w:val="22"/>
      <w:lang w:val="en-GB" w:eastAsia="en-US"/>
    </w:rPr>
  </w:style>
  <w:style w:type="character" w:styleId="UnresolvedMention">
    <w:name w:val="Unresolved Mention"/>
    <w:basedOn w:val="DefaultParagraphFont"/>
    <w:uiPriority w:val="99"/>
    <w:semiHidden/>
    <w:unhideWhenUsed/>
    <w:rsid w:val="00C83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973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ybil.cheng@edelman.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iwei.ge@gold.org"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ry\AppData\Roaming\Microsoft\Templates\WGC%20letterhead%20-%20Shangha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C3095-AFB8-4B52-8430-F09525CBD8F5}">
  <ds:schemaRefs/>
</ds:datastoreItem>
</file>

<file path=docProps/app.xml><?xml version="1.0" encoding="utf-8"?>
<Properties xmlns="http://schemas.openxmlformats.org/officeDocument/2006/extended-properties" xmlns:vt="http://schemas.openxmlformats.org/officeDocument/2006/docPropsVTypes">
  <Template>WGC letterhead - Shanghai</Template>
  <TotalTime>2</TotalTime>
  <Pages>12</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WGC letterhead - Shanghai</vt:lpstr>
    </vt:vector>
  </TitlesOfParts>
  <Company>Lenovo</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WGC letterhead - Shanghai</dc:title>
  <dc:subject>WGC letterhead - Shanghai</dc:subject>
  <dc:creator>jane</dc:creator>
  <dc:description>built by: www.mediasterling.com</dc:description>
  <cp:lastModifiedBy>Cheng, Sybil</cp:lastModifiedBy>
  <cp:revision>2</cp:revision>
  <cp:lastPrinted>2019-01-30T00:49:00Z</cp:lastPrinted>
  <dcterms:created xsi:type="dcterms:W3CDTF">2022-09-23T12:28:00Z</dcterms:created>
  <dcterms:modified xsi:type="dcterms:W3CDTF">2022-09-23T12:28:00Z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1.0.21</vt:lpwstr>
  </property>
  <property fmtid="{D5CDD505-2E9C-101B-9397-08002B2CF9AE}" pid="3" name="MS_PathToIniFile">
    <vt:lpwstr>WGC_TableTools.ini</vt:lpwstr>
  </property>
  <property fmtid="{D5CDD505-2E9C-101B-9397-08002B2CF9AE}" pid="4" name="KSOProductBuildVer">
    <vt:lpwstr>2052-11.1.0.12358</vt:lpwstr>
  </property>
  <property fmtid="{D5CDD505-2E9C-101B-9397-08002B2CF9AE}" pid="5" name="ICV">
    <vt:lpwstr>3C65FE4E8B9F4B46A6C1F918A2B998FC</vt:lpwstr>
  </property>
</Properties>
</file>